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tblInd w:w="103" w:type="dxa"/>
        <w:tblLayout w:type="fixed"/>
        <w:tblCellMar>
          <w:left w:w="115" w:type="dxa"/>
          <w:right w:w="115" w:type="dxa"/>
        </w:tblCellMar>
        <w:tblLook w:val="04A0" w:firstRow="1" w:lastRow="0" w:firstColumn="1" w:lastColumn="0" w:noHBand="0" w:noVBand="1"/>
        <w:tblCaption w:val="test"/>
        <w:tblDescription w:val="ddtdert"/>
      </w:tblPr>
      <w:tblGrid>
        <w:gridCol w:w="2688"/>
        <w:gridCol w:w="28"/>
        <w:gridCol w:w="976"/>
        <w:gridCol w:w="60"/>
        <w:gridCol w:w="255"/>
        <w:gridCol w:w="250"/>
        <w:gridCol w:w="411"/>
        <w:gridCol w:w="27"/>
        <w:gridCol w:w="30"/>
        <w:gridCol w:w="500"/>
        <w:gridCol w:w="337"/>
        <w:gridCol w:w="82"/>
        <w:gridCol w:w="502"/>
        <w:gridCol w:w="47"/>
        <w:gridCol w:w="427"/>
        <w:gridCol w:w="75"/>
        <w:gridCol w:w="466"/>
        <w:gridCol w:w="435"/>
        <w:gridCol w:w="533"/>
        <w:gridCol w:w="207"/>
        <w:gridCol w:w="236"/>
        <w:gridCol w:w="51"/>
        <w:gridCol w:w="474"/>
        <w:gridCol w:w="1803"/>
        <w:gridCol w:w="87"/>
      </w:tblGrid>
      <w:tr w:rsidR="00F54EC0" w:rsidRPr="00A63906" w14:paraId="41F9616E" w14:textId="77777777" w:rsidTr="00C247FE">
        <w:trPr>
          <w:gridAfter w:val="1"/>
          <w:wAfter w:w="87" w:type="dxa"/>
          <w:trHeight w:val="300"/>
        </w:trPr>
        <w:tc>
          <w:tcPr>
            <w:tcW w:w="2716" w:type="dxa"/>
            <w:gridSpan w:val="2"/>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F54EC0" w:rsidRDefault="00F54EC0" w:rsidP="00562233">
            <w:pPr>
              <w:rPr>
                <w:rFonts w:eastAsia="Times New Roman" w:cstheme="minorHAnsi"/>
                <w:b/>
                <w:bCs/>
                <w:color w:val="000000"/>
              </w:rPr>
            </w:pPr>
            <w:r w:rsidRPr="00F54EC0">
              <w:rPr>
                <w:rFonts w:eastAsia="Times New Roman" w:cstheme="minorHAnsi"/>
                <w:b/>
                <w:color w:val="77787B"/>
              </w:rPr>
              <w:t>A. General Information</w:t>
            </w:r>
          </w:p>
        </w:tc>
        <w:tc>
          <w:tcPr>
            <w:tcW w:w="976" w:type="dxa"/>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5"/>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2328" w:type="dxa"/>
            <w:gridSpan w:val="3"/>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r>
      <w:tr w:rsidR="00F54EC0" w:rsidRPr="00A63906" w14:paraId="617DD3DA" w14:textId="77777777" w:rsidTr="00C247FE">
        <w:trPr>
          <w:gridAfter w:val="1"/>
          <w:wAfter w:w="87" w:type="dxa"/>
          <w:trHeight w:val="314"/>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Project Title &amp; Project #:</w:t>
            </w:r>
          </w:p>
        </w:tc>
        <w:tc>
          <w:tcPr>
            <w:tcW w:w="8184" w:type="dxa"/>
            <w:gridSpan w:val="22"/>
            <w:tcBorders>
              <w:top w:val="single" w:sz="4" w:space="0" w:color="auto"/>
              <w:left w:val="nil"/>
              <w:bottom w:val="single" w:sz="4" w:space="0" w:color="auto"/>
              <w:right w:val="single" w:sz="4" w:space="0" w:color="auto"/>
            </w:tcBorders>
            <w:shd w:val="clear" w:color="000000" w:fill="FFFFFF"/>
            <w:noWrap/>
          </w:tcPr>
          <w:p w14:paraId="1965626E" w14:textId="62434BFD" w:rsidR="00F54EC0" w:rsidRPr="00F54EC0" w:rsidRDefault="002E3DE6" w:rsidP="00562233">
            <w:pPr>
              <w:rPr>
                <w:rFonts w:eastAsia="Times New Roman" w:cstheme="minorHAnsi"/>
                <w:color w:val="77787B"/>
              </w:rPr>
            </w:pPr>
            <w:r>
              <w:rPr>
                <w:rFonts w:eastAsia="Times New Roman" w:cstheme="minorHAnsi"/>
                <w:color w:val="77787B"/>
              </w:rPr>
              <w:t>Achieving target CHF medication dose using t</w:t>
            </w:r>
            <w:r w:rsidR="004A1654">
              <w:rPr>
                <w:rFonts w:eastAsia="Times New Roman" w:cstheme="minorHAnsi"/>
                <w:color w:val="77787B"/>
              </w:rPr>
              <w:t>elehealth</w:t>
            </w:r>
          </w:p>
        </w:tc>
      </w:tr>
      <w:tr w:rsidR="00F54EC0" w:rsidRPr="00A63906" w14:paraId="14C136FA" w14:textId="77777777" w:rsidTr="002C5824">
        <w:trPr>
          <w:gridAfter w:val="1"/>
          <w:wAfter w:w="87" w:type="dxa"/>
          <w:trHeight w:val="521"/>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 xml:space="preserve">Department/Division/Team: </w:t>
            </w:r>
          </w:p>
        </w:tc>
        <w:tc>
          <w:tcPr>
            <w:tcW w:w="8184" w:type="dxa"/>
            <w:gridSpan w:val="22"/>
            <w:tcBorders>
              <w:top w:val="single" w:sz="4" w:space="0" w:color="auto"/>
              <w:left w:val="nil"/>
              <w:bottom w:val="single" w:sz="4" w:space="0" w:color="auto"/>
              <w:right w:val="single" w:sz="4" w:space="0" w:color="000000"/>
            </w:tcBorders>
            <w:shd w:val="clear" w:color="000000" w:fill="FFFFFF"/>
            <w:vAlign w:val="center"/>
          </w:tcPr>
          <w:p w14:paraId="1A1AE49E" w14:textId="600C93DB" w:rsidR="00F54EC0" w:rsidRPr="00F54EC0" w:rsidRDefault="00520CC6" w:rsidP="00562233">
            <w:pPr>
              <w:rPr>
                <w:rFonts w:eastAsia="Times New Roman" w:cstheme="minorHAnsi"/>
                <w:color w:val="77787B"/>
              </w:rPr>
            </w:pPr>
            <w:r>
              <w:rPr>
                <w:rFonts w:cstheme="minorHAnsi"/>
                <w:b/>
                <w:i/>
                <w:color w:val="77787B"/>
              </w:rPr>
              <w:t>ACTION</w:t>
            </w:r>
            <w:r w:rsidR="00F54EC0" w:rsidRPr="00F54EC0">
              <w:rPr>
                <w:rFonts w:cstheme="minorHAnsi"/>
                <w:b/>
                <w:i/>
                <w:color w:val="77787B"/>
              </w:rPr>
              <w:t xml:space="preserve"> </w:t>
            </w:r>
          </w:p>
        </w:tc>
      </w:tr>
      <w:tr w:rsidR="00F54EC0" w:rsidRPr="00A63906" w14:paraId="203B09A8" w14:textId="77777777" w:rsidTr="002C5824">
        <w:trPr>
          <w:gridAfter w:val="1"/>
          <w:wAfter w:w="87" w:type="dxa"/>
          <w:trHeight w:val="485"/>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F54EC0" w:rsidRPr="00F54EC0" w:rsidRDefault="00F54EC0" w:rsidP="00562233">
            <w:pPr>
              <w:rPr>
                <w:rFonts w:ascii="Calibri" w:eastAsia="Times New Roman" w:hAnsi="Calibri" w:cs="Times New Roman"/>
                <w:b/>
                <w:bCs/>
                <w:i/>
                <w:iCs/>
                <w:color w:val="77787B"/>
                <w:sz w:val="20"/>
                <w:szCs w:val="20"/>
              </w:rPr>
            </w:pPr>
            <w:bookmarkStart w:id="0" w:name="_Hlk79656215"/>
            <w:r w:rsidRPr="00F54EC0">
              <w:rPr>
                <w:rFonts w:ascii="Calibri" w:eastAsia="Times New Roman" w:hAnsi="Calibri" w:cs="Times New Roman"/>
                <w:b/>
                <w:bCs/>
                <w:i/>
                <w:iCs/>
                <w:color w:val="77787B"/>
                <w:sz w:val="20"/>
                <w:szCs w:val="20"/>
              </w:rPr>
              <w:t>Population:</w:t>
            </w:r>
          </w:p>
        </w:tc>
        <w:tc>
          <w:tcPr>
            <w:tcW w:w="8184" w:type="dxa"/>
            <w:gridSpan w:val="22"/>
            <w:tcBorders>
              <w:top w:val="single" w:sz="4" w:space="0" w:color="auto"/>
              <w:left w:val="nil"/>
              <w:bottom w:val="single" w:sz="4" w:space="0" w:color="auto"/>
              <w:right w:val="single" w:sz="4" w:space="0" w:color="000000"/>
            </w:tcBorders>
            <w:shd w:val="clear" w:color="000000" w:fill="FFFFFF"/>
            <w:vAlign w:val="center"/>
          </w:tcPr>
          <w:p w14:paraId="286405B0" w14:textId="76FB9928" w:rsidR="00F54EC0" w:rsidRPr="00F54EC0" w:rsidRDefault="00773A92" w:rsidP="00562233">
            <w:pPr>
              <w:rPr>
                <w:rFonts w:eastAsia="Times New Roman" w:cstheme="minorHAnsi"/>
                <w:color w:val="77787B"/>
              </w:rPr>
            </w:pPr>
            <w:r>
              <w:rPr>
                <w:rFonts w:eastAsia="Times New Roman" w:cstheme="minorHAnsi"/>
                <w:color w:val="77787B"/>
              </w:rPr>
              <w:t xml:space="preserve">Patients </w:t>
            </w:r>
            <w:r w:rsidR="00A670F4">
              <w:rPr>
                <w:rFonts w:eastAsia="Times New Roman" w:cstheme="minorHAnsi"/>
                <w:color w:val="77787B"/>
              </w:rPr>
              <w:t>with moderate or greater systemic LV dysfunction (no maximum age, includes Duchenne patients, excludes patients that were transplanted and in heart failure)</w:t>
            </w:r>
          </w:p>
        </w:tc>
      </w:tr>
      <w:bookmarkEnd w:id="0"/>
      <w:tr w:rsidR="00F54EC0" w:rsidRPr="00A63906" w14:paraId="1C4C3673" w14:textId="77777777" w:rsidTr="004A1654">
        <w:trPr>
          <w:gridAfter w:val="1"/>
          <w:wAfter w:w="87" w:type="dxa"/>
          <w:trHeight w:val="1565"/>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Brief Project Description (AIM):</w:t>
            </w:r>
          </w:p>
        </w:tc>
        <w:tc>
          <w:tcPr>
            <w:tcW w:w="8184" w:type="dxa"/>
            <w:gridSpan w:val="22"/>
            <w:tcBorders>
              <w:top w:val="single" w:sz="4" w:space="0" w:color="auto"/>
              <w:left w:val="nil"/>
              <w:bottom w:val="single" w:sz="4" w:space="0" w:color="auto"/>
              <w:right w:val="single" w:sz="4" w:space="0" w:color="000000"/>
            </w:tcBorders>
            <w:shd w:val="clear" w:color="000000" w:fill="FFFFFF"/>
            <w:vAlign w:val="center"/>
          </w:tcPr>
          <w:p w14:paraId="777E4126" w14:textId="50613C81" w:rsidR="00F54EC0" w:rsidRDefault="00773A92" w:rsidP="00562233">
            <w:pPr>
              <w:rPr>
                <w:rFonts w:eastAsia="Times New Roman" w:cstheme="minorHAnsi"/>
                <w:color w:val="77787B"/>
              </w:rPr>
            </w:pPr>
            <w:r>
              <w:rPr>
                <w:rFonts w:eastAsia="Times New Roman" w:cstheme="minorHAnsi"/>
                <w:color w:val="77787B"/>
              </w:rPr>
              <w:t xml:space="preserve">The goal of this project is to facilitate </w:t>
            </w:r>
            <w:r w:rsidR="00CA58C1">
              <w:rPr>
                <w:rFonts w:eastAsia="Times New Roman" w:cstheme="minorHAnsi"/>
                <w:color w:val="77787B"/>
              </w:rPr>
              <w:t xml:space="preserve">up-titration of heart failure medication doses among ACTION center patients with </w:t>
            </w:r>
            <w:r w:rsidR="00B90D49">
              <w:rPr>
                <w:rFonts w:eastAsia="Times New Roman" w:cstheme="minorHAnsi"/>
                <w:color w:val="77787B"/>
              </w:rPr>
              <w:t xml:space="preserve">moderate or greater </w:t>
            </w:r>
            <w:r w:rsidR="00CA58C1">
              <w:rPr>
                <w:rFonts w:eastAsia="Times New Roman" w:cstheme="minorHAnsi"/>
                <w:color w:val="77787B"/>
              </w:rPr>
              <w:t>systemic left ventricular dysfunction</w:t>
            </w:r>
            <w:r w:rsidR="00B90D49">
              <w:rPr>
                <w:rFonts w:eastAsia="Times New Roman" w:cstheme="minorHAnsi"/>
                <w:color w:val="77787B"/>
              </w:rPr>
              <w:t>, using telephone, telehealth and in-person visits</w:t>
            </w:r>
            <w:r>
              <w:rPr>
                <w:rFonts w:eastAsia="Times New Roman" w:cstheme="minorHAnsi"/>
                <w:color w:val="77787B"/>
              </w:rPr>
              <w:t>.</w:t>
            </w:r>
          </w:p>
          <w:p w14:paraId="3CD52352" w14:textId="77777777" w:rsidR="004A1654" w:rsidRDefault="004A1654" w:rsidP="00562233">
            <w:pPr>
              <w:rPr>
                <w:rFonts w:eastAsia="Times New Roman" w:cstheme="minorHAnsi"/>
                <w:color w:val="77787B"/>
              </w:rPr>
            </w:pPr>
          </w:p>
          <w:p w14:paraId="327DB9C3" w14:textId="2DF1E957" w:rsidR="004A1654" w:rsidRPr="004A1654" w:rsidRDefault="004A1654" w:rsidP="00562233">
            <w:pPr>
              <w:rPr>
                <w:rFonts w:cstheme="minorHAnsi"/>
                <w:color w:val="77787B"/>
              </w:rPr>
            </w:pPr>
            <w:r>
              <w:rPr>
                <w:rFonts w:eastAsia="Times New Roman" w:cstheme="minorHAnsi"/>
                <w:color w:val="77787B"/>
              </w:rPr>
              <w:t xml:space="preserve">Aim: </w:t>
            </w:r>
            <w:r w:rsidRPr="004A1654">
              <w:rPr>
                <w:rFonts w:eastAsia="Times New Roman" w:cstheme="minorHAnsi"/>
                <w:color w:val="77787B"/>
              </w:rPr>
              <w:t xml:space="preserve">To </w:t>
            </w:r>
            <w:r w:rsidR="00D56901">
              <w:rPr>
                <w:rFonts w:eastAsia="Times New Roman" w:cstheme="minorHAnsi"/>
                <w:color w:val="77787B"/>
              </w:rPr>
              <w:t>achieve a 20</w:t>
            </w:r>
            <w:r w:rsidR="002F0C85">
              <w:rPr>
                <w:rFonts w:eastAsia="Times New Roman" w:cstheme="minorHAnsi"/>
                <w:color w:val="77787B"/>
              </w:rPr>
              <w:t>%</w:t>
            </w:r>
            <w:r w:rsidR="00D56901">
              <w:rPr>
                <w:rFonts w:eastAsia="Times New Roman" w:cstheme="minorHAnsi"/>
                <w:color w:val="77787B"/>
              </w:rPr>
              <w:t xml:space="preserve"> increase in</w:t>
            </w:r>
            <w:r w:rsidR="00CA58C1">
              <w:rPr>
                <w:rFonts w:eastAsia="Times New Roman" w:cstheme="minorHAnsi"/>
                <w:color w:val="77787B"/>
              </w:rPr>
              <w:t xml:space="preserve"> patients with </w:t>
            </w:r>
            <w:r w:rsidR="00340625">
              <w:rPr>
                <w:rFonts w:eastAsia="Times New Roman" w:cstheme="minorHAnsi"/>
                <w:color w:val="77787B"/>
              </w:rPr>
              <w:t xml:space="preserve">moderate or greater </w:t>
            </w:r>
            <w:r w:rsidR="00CA58C1">
              <w:rPr>
                <w:rFonts w:eastAsia="Times New Roman" w:cstheme="minorHAnsi"/>
                <w:color w:val="77787B"/>
              </w:rPr>
              <w:t xml:space="preserve">systemic LV dysfunction </w:t>
            </w:r>
            <w:r w:rsidR="00340625">
              <w:rPr>
                <w:rFonts w:eastAsia="Times New Roman" w:cstheme="minorHAnsi"/>
                <w:color w:val="77787B"/>
              </w:rPr>
              <w:t xml:space="preserve">who </w:t>
            </w:r>
            <w:r w:rsidR="00340625" w:rsidRPr="00A670F4">
              <w:rPr>
                <w:rFonts w:eastAsia="Times New Roman" w:cstheme="minorHAnsi"/>
                <w:color w:val="77787B"/>
              </w:rPr>
              <w:t>achieve minimum therapy regimens over</w:t>
            </w:r>
            <w:r w:rsidR="00340625">
              <w:rPr>
                <w:rFonts w:eastAsia="Times New Roman" w:cstheme="minorHAnsi"/>
                <w:color w:val="77787B"/>
              </w:rPr>
              <w:t xml:space="preserve"> a period of 6 months from </w:t>
            </w:r>
            <w:r w:rsidR="00142B53">
              <w:rPr>
                <w:rFonts w:eastAsia="Times New Roman" w:cstheme="minorHAnsi"/>
                <w:color w:val="77787B"/>
              </w:rPr>
              <w:t>a baseline of 3%</w:t>
            </w:r>
            <w:r w:rsidR="00D56901">
              <w:rPr>
                <w:rFonts w:eastAsia="Times New Roman" w:cstheme="minorHAnsi"/>
                <w:color w:val="77787B"/>
              </w:rPr>
              <w:t xml:space="preserve"> </w:t>
            </w:r>
            <w:r w:rsidR="00340625">
              <w:rPr>
                <w:rFonts w:eastAsia="Times New Roman" w:cstheme="minorHAnsi"/>
                <w:color w:val="77787B"/>
              </w:rPr>
              <w:t xml:space="preserve">by </w:t>
            </w:r>
            <w:commentRangeStart w:id="1"/>
            <w:r w:rsidR="00D56901">
              <w:rPr>
                <w:rFonts w:eastAsia="Times New Roman" w:cstheme="minorHAnsi"/>
                <w:color w:val="77787B"/>
              </w:rPr>
              <w:t>9</w:t>
            </w:r>
            <w:r w:rsidR="00340625">
              <w:rPr>
                <w:rFonts w:eastAsia="Times New Roman" w:cstheme="minorHAnsi"/>
                <w:color w:val="77787B"/>
              </w:rPr>
              <w:t>/30/2022</w:t>
            </w:r>
            <w:commentRangeEnd w:id="1"/>
            <w:r w:rsidR="00D56901">
              <w:rPr>
                <w:rStyle w:val="CommentReference"/>
              </w:rPr>
              <w:commentReference w:id="1"/>
            </w:r>
            <w:r>
              <w:rPr>
                <w:rFonts w:eastAsia="Times New Roman" w:cstheme="minorHAnsi"/>
                <w:color w:val="77787B"/>
              </w:rPr>
              <w:t>.</w:t>
            </w:r>
          </w:p>
        </w:tc>
      </w:tr>
      <w:tr w:rsidR="00F54EC0" w:rsidRPr="00A63906" w14:paraId="4184835D" w14:textId="77777777" w:rsidTr="002C5824">
        <w:trPr>
          <w:gridAfter w:val="1"/>
          <w:wAfter w:w="87" w:type="dxa"/>
          <w:trHeight w:val="350"/>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Measures:</w:t>
            </w:r>
          </w:p>
        </w:tc>
        <w:tc>
          <w:tcPr>
            <w:tcW w:w="8184" w:type="dxa"/>
            <w:gridSpan w:val="22"/>
            <w:tcBorders>
              <w:top w:val="single" w:sz="4" w:space="0" w:color="auto"/>
              <w:left w:val="nil"/>
              <w:bottom w:val="single" w:sz="4" w:space="0" w:color="auto"/>
              <w:right w:val="single" w:sz="4" w:space="0" w:color="000000"/>
            </w:tcBorders>
            <w:shd w:val="clear" w:color="000000" w:fill="FFFFFF"/>
            <w:vAlign w:val="center"/>
          </w:tcPr>
          <w:p w14:paraId="3869B7DD" w14:textId="50F227B7" w:rsidR="002F0C85" w:rsidRDefault="002F0C85" w:rsidP="00562233">
            <w:pPr>
              <w:rPr>
                <w:rFonts w:eastAsia="Times New Roman" w:cstheme="minorHAnsi"/>
                <w:color w:val="77787B"/>
              </w:rPr>
            </w:pPr>
            <w:r>
              <w:rPr>
                <w:rFonts w:eastAsia="Times New Roman" w:cstheme="minorHAnsi"/>
                <w:color w:val="77787B"/>
              </w:rPr>
              <w:t xml:space="preserve">Numerator: Number of pts reaching </w:t>
            </w:r>
            <w:r w:rsidR="00340625">
              <w:rPr>
                <w:rFonts w:eastAsia="Times New Roman" w:cstheme="minorHAnsi"/>
                <w:color w:val="77787B"/>
              </w:rPr>
              <w:t>minimum therapy regimens doses</w:t>
            </w:r>
            <w:r>
              <w:rPr>
                <w:rFonts w:eastAsia="Times New Roman" w:cstheme="minorHAnsi"/>
                <w:color w:val="77787B"/>
              </w:rPr>
              <w:t xml:space="preserve"> </w:t>
            </w:r>
            <w:r w:rsidR="00D56901">
              <w:rPr>
                <w:rFonts w:eastAsia="Times New Roman" w:cstheme="minorHAnsi"/>
                <w:color w:val="77787B"/>
              </w:rPr>
              <w:t>for all three classes of medications.</w:t>
            </w:r>
          </w:p>
          <w:p w14:paraId="5BA7FE61" w14:textId="77777777" w:rsidR="00A670F4" w:rsidRDefault="00A670F4" w:rsidP="00562233">
            <w:pPr>
              <w:rPr>
                <w:rFonts w:eastAsia="Times New Roman" w:cstheme="minorHAnsi"/>
                <w:color w:val="77787B"/>
              </w:rPr>
            </w:pPr>
          </w:p>
          <w:p w14:paraId="06D316E7" w14:textId="77777777" w:rsidR="00340625" w:rsidRDefault="002F0C85" w:rsidP="00562233">
            <w:pPr>
              <w:rPr>
                <w:rFonts w:eastAsia="Times New Roman" w:cstheme="minorHAnsi"/>
                <w:color w:val="77787B"/>
              </w:rPr>
            </w:pPr>
            <w:r>
              <w:rPr>
                <w:rFonts w:eastAsia="Times New Roman" w:cstheme="minorHAnsi"/>
                <w:color w:val="77787B"/>
              </w:rPr>
              <w:t>Denominator: Total n</w:t>
            </w:r>
            <w:r w:rsidR="0061426D">
              <w:rPr>
                <w:rFonts w:eastAsia="Times New Roman" w:cstheme="minorHAnsi"/>
                <w:color w:val="77787B"/>
              </w:rPr>
              <w:t>umber</w:t>
            </w:r>
            <w:r>
              <w:rPr>
                <w:rFonts w:eastAsia="Times New Roman" w:cstheme="minorHAnsi"/>
                <w:color w:val="77787B"/>
              </w:rPr>
              <w:t xml:space="preserve"> of patients </w:t>
            </w:r>
            <w:r w:rsidR="00B90D49">
              <w:rPr>
                <w:rFonts w:eastAsia="Times New Roman" w:cstheme="minorHAnsi"/>
                <w:color w:val="77787B"/>
              </w:rPr>
              <w:t>with moderate or greater systemic left ventricular dysfunction at</w:t>
            </w:r>
            <w:r w:rsidR="0061426D">
              <w:rPr>
                <w:rFonts w:eastAsia="Times New Roman" w:cstheme="minorHAnsi"/>
                <w:color w:val="77787B"/>
              </w:rPr>
              <w:t xml:space="preserve"> each </w:t>
            </w:r>
            <w:r>
              <w:rPr>
                <w:rFonts w:eastAsia="Times New Roman" w:cstheme="minorHAnsi"/>
                <w:color w:val="77787B"/>
              </w:rPr>
              <w:t xml:space="preserve">participating </w:t>
            </w:r>
            <w:r w:rsidR="0061426D">
              <w:rPr>
                <w:rFonts w:eastAsia="Times New Roman" w:cstheme="minorHAnsi"/>
                <w:color w:val="77787B"/>
              </w:rPr>
              <w:t>center</w:t>
            </w:r>
            <w:r w:rsidR="00B90D49">
              <w:rPr>
                <w:rFonts w:eastAsia="Times New Roman" w:cstheme="minorHAnsi"/>
                <w:color w:val="77787B"/>
              </w:rPr>
              <w:t>,</w:t>
            </w:r>
            <w:r w:rsidR="0061426D">
              <w:rPr>
                <w:rFonts w:eastAsia="Times New Roman" w:cstheme="minorHAnsi"/>
                <w:color w:val="77787B"/>
              </w:rPr>
              <w:t xml:space="preserve"> tracked monthly</w:t>
            </w:r>
            <w:r w:rsidR="00340625">
              <w:rPr>
                <w:rFonts w:eastAsia="Times New Roman" w:cstheme="minorHAnsi"/>
                <w:color w:val="77787B"/>
              </w:rPr>
              <w:t>. Entry points would be those patients meeting inclusion criteria at discharge from hospital or first clinic visit with advanced heart failure team.</w:t>
            </w:r>
          </w:p>
          <w:p w14:paraId="2C3327A4" w14:textId="56D6BB0F" w:rsidR="00A670F4" w:rsidRPr="00F54EC0" w:rsidRDefault="00A670F4" w:rsidP="00562233">
            <w:pPr>
              <w:rPr>
                <w:rFonts w:eastAsia="Times New Roman" w:cstheme="minorHAnsi"/>
                <w:color w:val="77787B"/>
              </w:rPr>
            </w:pPr>
          </w:p>
        </w:tc>
      </w:tr>
      <w:tr w:rsidR="00F54EC0" w:rsidRPr="00A63906" w14:paraId="3A44C4B7" w14:textId="77777777" w:rsidTr="002C5824">
        <w:trPr>
          <w:gridAfter w:val="1"/>
          <w:wAfter w:w="87" w:type="dxa"/>
          <w:trHeight w:val="300"/>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Prepared By:</w:t>
            </w:r>
          </w:p>
        </w:tc>
        <w:tc>
          <w:tcPr>
            <w:tcW w:w="8184" w:type="dxa"/>
            <w:gridSpan w:val="22"/>
            <w:tcBorders>
              <w:top w:val="single" w:sz="4" w:space="0" w:color="auto"/>
              <w:left w:val="nil"/>
              <w:bottom w:val="single" w:sz="4" w:space="0" w:color="auto"/>
              <w:right w:val="single" w:sz="4" w:space="0" w:color="auto"/>
            </w:tcBorders>
            <w:shd w:val="clear" w:color="000000" w:fill="FFFFFF"/>
            <w:noWrap/>
            <w:vAlign w:val="center"/>
          </w:tcPr>
          <w:p w14:paraId="6F01FC9B" w14:textId="6C3095FF" w:rsidR="00F54EC0" w:rsidRPr="00F54EC0" w:rsidRDefault="00773A92" w:rsidP="00562233">
            <w:pPr>
              <w:rPr>
                <w:rFonts w:ascii="Calibri" w:eastAsia="Times New Roman" w:hAnsi="Calibri" w:cs="Times New Roman"/>
                <w:color w:val="77787B"/>
              </w:rPr>
            </w:pPr>
            <w:r>
              <w:rPr>
                <w:rFonts w:ascii="Calibri" w:eastAsia="Times New Roman" w:hAnsi="Calibri" w:cs="Times New Roman"/>
                <w:color w:val="77787B"/>
              </w:rPr>
              <w:t>M</w:t>
            </w:r>
            <w:r w:rsidR="002F0C85">
              <w:rPr>
                <w:rFonts w:ascii="Calibri" w:eastAsia="Times New Roman" w:hAnsi="Calibri" w:cs="Times New Roman"/>
                <w:color w:val="77787B"/>
              </w:rPr>
              <w:t>.</w:t>
            </w:r>
            <w:r>
              <w:rPr>
                <w:rFonts w:ascii="Calibri" w:eastAsia="Times New Roman" w:hAnsi="Calibri" w:cs="Times New Roman"/>
                <w:color w:val="77787B"/>
              </w:rPr>
              <w:t xml:space="preserve"> O’Connor</w:t>
            </w:r>
            <w:r w:rsidR="002F0C85">
              <w:rPr>
                <w:rFonts w:ascii="Calibri" w:eastAsia="Times New Roman" w:hAnsi="Calibri" w:cs="Times New Roman"/>
                <w:color w:val="77787B"/>
              </w:rPr>
              <w:t>, R. Gajarski, D. Nandi</w:t>
            </w:r>
          </w:p>
        </w:tc>
      </w:tr>
      <w:tr w:rsidR="00F54EC0" w:rsidRPr="00A63906" w14:paraId="15B35956" w14:textId="77777777" w:rsidTr="002C5824">
        <w:trPr>
          <w:gridAfter w:val="1"/>
          <w:wAfter w:w="87" w:type="dxa"/>
          <w:trHeight w:val="300"/>
        </w:trPr>
        <w:tc>
          <w:tcPr>
            <w:tcW w:w="2716" w:type="dxa"/>
            <w:gridSpan w:val="2"/>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7777777" w:rsidR="00F54EC0" w:rsidRPr="00F54EC0" w:rsidRDefault="00F54EC0" w:rsidP="00562233">
            <w:pPr>
              <w:rPr>
                <w:rFonts w:ascii="Calibri" w:eastAsia="Times New Roman" w:hAnsi="Calibri" w:cs="Times New Roman"/>
                <w:b/>
                <w:bCs/>
                <w:i/>
                <w:iCs/>
                <w:color w:val="77787B"/>
                <w:sz w:val="20"/>
                <w:szCs w:val="20"/>
              </w:rPr>
            </w:pPr>
            <w:r w:rsidRPr="00F54EC0">
              <w:rPr>
                <w:rFonts w:ascii="Calibri" w:eastAsia="Times New Roman" w:hAnsi="Calibri" w:cs="Times New Roman"/>
                <w:b/>
                <w:bCs/>
                <w:i/>
                <w:iCs/>
                <w:color w:val="77787B"/>
                <w:sz w:val="20"/>
                <w:szCs w:val="20"/>
              </w:rPr>
              <w:t xml:space="preserve">Date: </w:t>
            </w:r>
          </w:p>
        </w:tc>
        <w:tc>
          <w:tcPr>
            <w:tcW w:w="8184" w:type="dxa"/>
            <w:gridSpan w:val="22"/>
            <w:tcBorders>
              <w:top w:val="single" w:sz="4" w:space="0" w:color="auto"/>
              <w:left w:val="nil"/>
              <w:bottom w:val="single" w:sz="4" w:space="0" w:color="auto"/>
              <w:right w:val="single" w:sz="4" w:space="0" w:color="auto"/>
            </w:tcBorders>
            <w:shd w:val="clear" w:color="000000" w:fill="FFFFFF"/>
            <w:noWrap/>
            <w:vAlign w:val="center"/>
          </w:tcPr>
          <w:p w14:paraId="3089133A" w14:textId="2751416F" w:rsidR="00F54EC0" w:rsidRPr="00F54EC0" w:rsidRDefault="00D56901" w:rsidP="00562233">
            <w:pPr>
              <w:rPr>
                <w:rFonts w:ascii="Calibri" w:eastAsia="Times New Roman" w:hAnsi="Calibri" w:cs="Times New Roman"/>
                <w:color w:val="77787B"/>
              </w:rPr>
            </w:pPr>
            <w:r>
              <w:rPr>
                <w:rFonts w:ascii="Calibri" w:eastAsia="Times New Roman" w:hAnsi="Calibri" w:cs="Times New Roman"/>
                <w:color w:val="77787B"/>
              </w:rPr>
              <w:t>11/11</w:t>
            </w:r>
            <w:r w:rsidR="007F78FB">
              <w:rPr>
                <w:rFonts w:ascii="Calibri" w:eastAsia="Times New Roman" w:hAnsi="Calibri" w:cs="Times New Roman"/>
                <w:color w:val="77787B"/>
              </w:rPr>
              <w:t>/202</w:t>
            </w:r>
            <w:r w:rsidR="002F0C85">
              <w:rPr>
                <w:rFonts w:ascii="Calibri" w:eastAsia="Times New Roman" w:hAnsi="Calibri" w:cs="Times New Roman"/>
                <w:color w:val="77787B"/>
              </w:rPr>
              <w:t>1</w:t>
            </w:r>
          </w:p>
        </w:tc>
      </w:tr>
      <w:tr w:rsidR="00F54EC0" w:rsidRPr="00A63906" w14:paraId="15844F83" w14:textId="77777777" w:rsidTr="00C247FE">
        <w:trPr>
          <w:gridAfter w:val="1"/>
          <w:wAfter w:w="87" w:type="dxa"/>
          <w:trHeight w:val="189"/>
        </w:trPr>
        <w:tc>
          <w:tcPr>
            <w:tcW w:w="2716" w:type="dxa"/>
            <w:gridSpan w:val="2"/>
            <w:tcBorders>
              <w:top w:val="single" w:sz="4" w:space="0" w:color="auto"/>
              <w:left w:val="single" w:sz="4" w:space="0" w:color="auto"/>
              <w:bottom w:val="single" w:sz="4" w:space="0" w:color="auto"/>
              <w:right w:val="nil"/>
            </w:tcBorders>
            <w:shd w:val="clear" w:color="auto" w:fill="D9EFED"/>
            <w:noWrap/>
            <w:vAlign w:val="bottom"/>
            <w:hideMark/>
          </w:tcPr>
          <w:p w14:paraId="1C76F3BD" w14:textId="77777777" w:rsidR="00F54EC0" w:rsidRPr="007C4C3E" w:rsidRDefault="00F54EC0" w:rsidP="00562233">
            <w:pPr>
              <w:rPr>
                <w:rFonts w:ascii="Calibri" w:eastAsia="Times New Roman" w:hAnsi="Calibri" w:cs="Times New Roman"/>
                <w:b/>
                <w:bCs/>
                <w:color w:val="000000"/>
              </w:rPr>
            </w:pPr>
            <w:bookmarkStart w:id="2" w:name="RANGE!A12"/>
            <w:bookmarkStart w:id="3" w:name="Background"/>
            <w:r w:rsidRPr="00F54EC0">
              <w:rPr>
                <w:rFonts w:ascii="Calibri" w:eastAsia="Times New Roman" w:hAnsi="Calibri" w:cs="Times New Roman"/>
                <w:b/>
                <w:bCs/>
                <w:color w:val="77787B"/>
              </w:rPr>
              <w:t>B. Project Background:</w:t>
            </w:r>
            <w:bookmarkEnd w:id="2"/>
            <w:bookmarkEnd w:id="3"/>
          </w:p>
        </w:tc>
        <w:tc>
          <w:tcPr>
            <w:tcW w:w="976" w:type="dxa"/>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5"/>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c>
          <w:tcPr>
            <w:tcW w:w="2328" w:type="dxa"/>
            <w:gridSpan w:val="3"/>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A63906" w:rsidRDefault="00F54EC0" w:rsidP="00562233">
            <w:pPr>
              <w:rPr>
                <w:rFonts w:ascii="Calibri" w:eastAsia="Times New Roman" w:hAnsi="Calibri" w:cs="Times New Roman"/>
                <w:color w:val="000000"/>
              </w:rPr>
            </w:pPr>
            <w:r w:rsidRPr="00A63906">
              <w:rPr>
                <w:rFonts w:ascii="Calibri" w:eastAsia="Times New Roman" w:hAnsi="Calibri" w:cs="Times New Roman"/>
                <w:color w:val="000000"/>
              </w:rPr>
              <w:t> </w:t>
            </w:r>
          </w:p>
        </w:tc>
      </w:tr>
      <w:tr w:rsidR="00F54EC0" w:rsidRPr="00F54EC0" w14:paraId="14C31895" w14:textId="77777777" w:rsidTr="00C247FE">
        <w:trPr>
          <w:gridAfter w:val="1"/>
          <w:wAfter w:w="87" w:type="dxa"/>
          <w:trHeight w:val="1539"/>
        </w:trPr>
        <w:tc>
          <w:tcPr>
            <w:tcW w:w="10900" w:type="dxa"/>
            <w:gridSpan w:val="24"/>
            <w:tcBorders>
              <w:top w:val="single" w:sz="4" w:space="0" w:color="auto"/>
              <w:left w:val="single" w:sz="4" w:space="0" w:color="auto"/>
              <w:bottom w:val="single" w:sz="4" w:space="0" w:color="auto"/>
              <w:right w:val="single" w:sz="4" w:space="0" w:color="000000"/>
            </w:tcBorders>
            <w:shd w:val="clear" w:color="000000" w:fill="FFFFFF"/>
          </w:tcPr>
          <w:p w14:paraId="37F16A56" w14:textId="77777777" w:rsidR="00B90D49" w:rsidRPr="00A670F4" w:rsidRDefault="00B90D49" w:rsidP="00B90D49">
            <w:pPr>
              <w:rPr>
                <w:color w:val="808080" w:themeColor="background1" w:themeShade="80"/>
              </w:rPr>
            </w:pPr>
            <w:r w:rsidRPr="00A670F4">
              <w:rPr>
                <w:color w:val="808080" w:themeColor="background1" w:themeShade="80"/>
              </w:rPr>
              <w:t>The ability to deliver care remotely to pediatric and adolescent populations treated with advanced cardiac therapies, provides not only the option to replace some in-person visits, but may be ripe for augmenting care. In particular, remote caregiver interaction may provide avenues to increase access for isolated populations, improve education related to advanced cardiac therapies, and allow for uptitration of goal-directed medical therapies (GDMT) for advanced heart failure. The use of telehealth or remote monitoring has been described in adult populations to increase compliance with heart failure guidelines, both in medication type and in doseage.</w:t>
            </w:r>
            <w:r w:rsidRPr="00A670F4">
              <w:rPr>
                <w:color w:val="808080" w:themeColor="background1" w:themeShade="80"/>
              </w:rPr>
              <w:fldChar w:fldCharType="begin"/>
            </w:r>
            <w:r w:rsidRPr="00A670F4">
              <w:rPr>
                <w:color w:val="808080" w:themeColor="background1" w:themeShade="80"/>
              </w:rPr>
              <w:instrText xml:space="preserve"> ADDIN ZOTERO_ITEM CSL_CITATION {"citationID":"UtnYLxTO","properties":{"formattedCitation":"\\super 2\\nosupersub{}","plainCitation":"2","noteIndex":0},"citationItems":[{"id":2567,"uris":["http://zotero.org/users/2266832/items/5Q64N6UZ"],"uri":["http://zotero.org/users/2266832/items/5Q64N6UZ"],"itemData":{"id":2567,"type":"article-journal","abstract":"OBJECTIVE To determine whether a remote, algorithm-driven, navigator-administered medication optimization program could enhance implementation of GDMT in HFrEF. DESIGN, SETTING, AND PARTICIPANTS In this case-control study, a population-based sample of patients with HFrEF was offered participation in a quality improvement program directed at GDMT optimization. Treating clinicians in a tertiary academic medical center who were caring for patients with heart failure and an ejection fraction of 40% or less (identified through an electronic health record–based search) were approached for permission to adjust medical therapy according to a sequential titration algorithm modeled on the current American College of Cardiology/American Heart Association heart failure guidelines. Navigators contacted participants by telephone to direct medication adjustment and conduct longitudinal surveillance of laboratory tests, blood pressure, and symptoms under supervision of a pharmacist, nurse practitioner, and heart failure cardiologist. Patients and clinicians declining to participate served as a control group. EXPOSURES Navigator-led remote optimization of GDMT compared with usual care. MAIN OUTCOMES AND MEASURES Proportion of patients receiving GDMT in the intervention and control groups at 3 months.\nRESULTS Of 1028 eligible patients (mean [SD] values: age, 68 [14] years; ejection fraction, 32% [8%]; and systolic blood pressure, 122 [18] mm Hg; 305 women (30.0%); 892 individuals [86.8%] in New York Heart Association class I and II), 197 (19.2%) participated in the medication optimization program, and 831 (80.8%) continued with usual care as directed by their treating clinicians (585 [56.9%] general cardiologists; 443 [43.1%] heart failure specialists). At 3 months, patients participating in the remote intervention experienced significant increases from baseline in use of renin-angiotensin system antagonists (138 [70.1%] to 170 [86.3%]; P &lt; .001) and β-blockers (152 [77.2%] to 181 [91.9%]; P &lt; .001) but not mineralocorticoid receptor antagonists (51 [25.9%] to 60 [30.5%]; P = .14). Doses for each category of GDMT also increased from baseline in the intervention group. Among the usual-care group, there were no changes from baseline in the proportion of patients receiving GDMT or the dose of GDMT in any category.\nCONCLUSIONS AND RELEVANCE Remote titration of GDMT by navigators using encoded algorithms may represent an efficient, population-level strategy for rapidly closing the gap between guidelines and clinical practice in patients with HFrEF.","container-title":"JAMA Cardiology","DOI":"10.1001/jamacardio.2020.3757","ISSN":"2380-6583","issue":"12","journalAbbreviation":"JAMA Cardiol","language":"en","page":"1430","source":"DOI.org (Crossref)","title":"Remote Optimization of Guideline-Directed Medical Therapy in Patients With Heart Failure With Reduced Ejection Fraction","volume":"5","author":[{"family":"Desai","given":"Akshay S."},{"family":"Maclean","given":"Taylor"},{"family":"Blood","given":"Alexander J."},{"family":"Bosque-Hamilton","given":"Joshua"},{"family":"Dunning","given":"Jacqueline"},{"family":"Fischer","given":"Christina"},{"family":"Fera","given":"Liliana"},{"family":"Smith","given":"Katelyn V."},{"family":"Wagholikar","given":"Kavishwar"},{"family":"Zelle","given":"David"},{"family":"Gaziano","given":"Thomas"},{"family":"Plutzky","given":"Jorge"},{"family":"Scirica","given":"Benjamin"},{"family":"MacRae","given":"Calum A."}],"issued":{"date-parts":[["2020",12,1]]}}}],"schema":"https://github.com/citation-style-language/schema/raw/master/csl-citation.json"} </w:instrText>
            </w:r>
            <w:r w:rsidRPr="00A670F4">
              <w:rPr>
                <w:color w:val="808080" w:themeColor="background1" w:themeShade="80"/>
              </w:rPr>
              <w:fldChar w:fldCharType="separate"/>
            </w:r>
            <w:r w:rsidRPr="00A670F4">
              <w:rPr>
                <w:rFonts w:ascii="Calibri" w:hAnsi="Calibri" w:cs="Calibri"/>
                <w:color w:val="808080" w:themeColor="background1" w:themeShade="80"/>
                <w:vertAlign w:val="superscript"/>
              </w:rPr>
              <w:t>2</w:t>
            </w:r>
            <w:r w:rsidRPr="00A670F4">
              <w:rPr>
                <w:color w:val="808080" w:themeColor="background1" w:themeShade="80"/>
              </w:rPr>
              <w:fldChar w:fldCharType="end"/>
            </w:r>
            <w:r w:rsidRPr="00A670F4">
              <w:rPr>
                <w:color w:val="808080" w:themeColor="background1" w:themeShade="80"/>
              </w:rPr>
              <w:t xml:space="preserve"> Uniquely, prior reports have also demonstrated the feasibility of uptitration of medications via nurses, nurse practitioners, and pharmacists, working in collaboration with physicians.</w:t>
            </w:r>
            <w:r w:rsidRPr="00A670F4">
              <w:rPr>
                <w:color w:val="808080" w:themeColor="background1" w:themeShade="80"/>
              </w:rPr>
              <w:fldChar w:fldCharType="begin"/>
            </w:r>
            <w:r w:rsidRPr="00A670F4">
              <w:rPr>
                <w:color w:val="808080" w:themeColor="background1" w:themeShade="80"/>
              </w:rPr>
              <w:instrText xml:space="preserve"> ADDIN ZOTERO_ITEM CSL_CITATION {"citationID":"k2p2Axap","properties":{"formattedCitation":"\\super 3\\nosupersub{}","plainCitation":"3","noteIndex":0},"citationItems":[{"id":2566,"uris":["http://zotero.org/users/2266832/items/UIHYVDDQ"],"uri":["http://zotero.org/users/2266832/items/UIHYVDDQ"],"itemData":{"id":2566,"type":"article-journal","container-title":"Cochrane Database of Systematic Reviews","DOI":"10.1002/14651858.CD009889.pub2","ISSN":"14651858","language":"en","source":"DOI.org (Crossref)","title":"Nurse-led titration of angiotensin converting enzyme inhibitors, beta-adrenergic blocking agents, and angiotensin receptor blockers for people with heart failure with reduced ejection fraction","URL":"http://doi.wiley.com/10.1002/14651858.CD009889.pub2","author":[{"family":"Driscoll","given":"Andrea"},{"family":"Currey","given":"Judy"},{"family":"Tonkin","given":"Andrew"},{"family":"Krum","given":"Henry"}],"editor":[{"literal":"Cochrane Heart Group"}],"accessed":{"date-parts":[["2021",3,2]]},"issued":{"date-parts":[["2015",12,21]]}}}],"schema":"https://github.com/citation-style-language/schema/raw/master/csl-citation.json"} </w:instrText>
            </w:r>
            <w:r w:rsidRPr="00A670F4">
              <w:rPr>
                <w:color w:val="808080" w:themeColor="background1" w:themeShade="80"/>
              </w:rPr>
              <w:fldChar w:fldCharType="separate"/>
            </w:r>
            <w:r w:rsidRPr="00A670F4">
              <w:rPr>
                <w:rFonts w:ascii="Calibri" w:hAnsi="Calibri" w:cs="Calibri"/>
                <w:color w:val="808080" w:themeColor="background1" w:themeShade="80"/>
                <w:vertAlign w:val="superscript"/>
              </w:rPr>
              <w:t>3</w:t>
            </w:r>
            <w:r w:rsidRPr="00A670F4">
              <w:rPr>
                <w:color w:val="808080" w:themeColor="background1" w:themeShade="80"/>
              </w:rPr>
              <w:fldChar w:fldCharType="end"/>
            </w:r>
            <w:r w:rsidRPr="00A670F4">
              <w:rPr>
                <w:color w:val="808080" w:themeColor="background1" w:themeShade="80"/>
              </w:rPr>
              <w:t xml:space="preserve"> Such collaborative work, including parents &amp; patients, and using telehealth &amp; remote data collection of weights, blood pressure and laboratory monitoring, may be an ideal evolution of telehealth to improve the care of this population. </w:t>
            </w:r>
          </w:p>
          <w:p w14:paraId="07F9C9E5" w14:textId="20424E86" w:rsidR="00F54EC0" w:rsidRPr="00F54EC0" w:rsidRDefault="00F54EC0" w:rsidP="00773A92">
            <w:pPr>
              <w:rPr>
                <w:rFonts w:ascii="Calibri" w:eastAsia="Times New Roman" w:hAnsi="Calibri" w:cs="Times New Roman"/>
                <w:color w:val="77787B"/>
              </w:rPr>
            </w:pPr>
          </w:p>
        </w:tc>
      </w:tr>
      <w:tr w:rsidR="00F54EC0" w:rsidRPr="00F54EC0" w14:paraId="676BB360" w14:textId="77777777" w:rsidTr="00C247FE">
        <w:trPr>
          <w:gridAfter w:val="1"/>
          <w:wAfter w:w="87" w:type="dxa"/>
          <w:trHeight w:val="261"/>
        </w:trPr>
        <w:tc>
          <w:tcPr>
            <w:tcW w:w="10900" w:type="dxa"/>
            <w:gridSpan w:val="24"/>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b/>
                <w:bCs/>
                <w:color w:val="77787B"/>
              </w:rPr>
              <w:t>C. Project Scope (and exclusions)</w:t>
            </w:r>
            <w:r w:rsidRPr="00F54EC0">
              <w:rPr>
                <w:rFonts w:ascii="Calibri" w:eastAsia="Times New Roman" w:hAnsi="Calibri" w:cs="Times New Roman"/>
                <w:color w:val="77787B"/>
              </w:rPr>
              <w:t>:</w:t>
            </w:r>
          </w:p>
        </w:tc>
      </w:tr>
      <w:tr w:rsidR="00F54EC0" w:rsidRPr="00F54EC0" w14:paraId="0E85C2BD" w14:textId="77777777" w:rsidTr="00C247FE">
        <w:trPr>
          <w:gridAfter w:val="1"/>
          <w:wAfter w:w="87" w:type="dxa"/>
          <w:trHeight w:val="1674"/>
        </w:trPr>
        <w:tc>
          <w:tcPr>
            <w:tcW w:w="10900" w:type="dxa"/>
            <w:gridSpan w:val="24"/>
            <w:tcBorders>
              <w:top w:val="single" w:sz="4" w:space="0" w:color="auto"/>
              <w:left w:val="single" w:sz="4" w:space="0" w:color="auto"/>
              <w:bottom w:val="single" w:sz="4" w:space="0" w:color="auto"/>
              <w:right w:val="single" w:sz="4" w:space="0" w:color="000000"/>
            </w:tcBorders>
            <w:shd w:val="clear" w:color="auto" w:fill="auto"/>
            <w:hideMark/>
          </w:tcPr>
          <w:p w14:paraId="49DCAE5C" w14:textId="775BFC66" w:rsidR="00340625" w:rsidRDefault="003A134C" w:rsidP="00CE2FF9">
            <w:pPr>
              <w:rPr>
                <w:rFonts w:ascii="Calibri" w:eastAsia="Times New Roman" w:hAnsi="Calibri" w:cs="Times New Roman"/>
                <w:color w:val="77787B"/>
              </w:rPr>
            </w:pPr>
            <w:r>
              <w:rPr>
                <w:color w:val="808080" w:themeColor="background1" w:themeShade="80"/>
              </w:rPr>
              <w:lastRenderedPageBreak/>
              <w:t xml:space="preserve">The goal of uptitration is to stabilize function, prevent </w:t>
            </w:r>
            <w:r w:rsidRPr="006C29CE">
              <w:rPr>
                <w:color w:val="808080" w:themeColor="background1" w:themeShade="80"/>
              </w:rPr>
              <w:t xml:space="preserve">worsening </w:t>
            </w:r>
            <w:r>
              <w:rPr>
                <w:color w:val="808080" w:themeColor="background1" w:themeShade="80"/>
              </w:rPr>
              <w:t xml:space="preserve">of </w:t>
            </w:r>
            <w:r w:rsidRPr="006C29CE">
              <w:rPr>
                <w:color w:val="808080" w:themeColor="background1" w:themeShade="80"/>
              </w:rPr>
              <w:t xml:space="preserve">symptoms, </w:t>
            </w:r>
            <w:r>
              <w:rPr>
                <w:color w:val="808080" w:themeColor="background1" w:themeShade="80"/>
              </w:rPr>
              <w:t xml:space="preserve">reduce </w:t>
            </w:r>
            <w:r w:rsidRPr="006C29CE">
              <w:rPr>
                <w:color w:val="808080" w:themeColor="background1" w:themeShade="80"/>
              </w:rPr>
              <w:t>hospitalization</w:t>
            </w:r>
            <w:r>
              <w:rPr>
                <w:color w:val="808080" w:themeColor="background1" w:themeShade="80"/>
              </w:rPr>
              <w:t>s and/or</w:t>
            </w:r>
            <w:r w:rsidR="00340625">
              <w:rPr>
                <w:color w:val="808080" w:themeColor="background1" w:themeShade="80"/>
              </w:rPr>
              <w:t xml:space="preserve"> </w:t>
            </w:r>
            <w:r w:rsidRPr="006C29CE">
              <w:rPr>
                <w:color w:val="808080" w:themeColor="background1" w:themeShade="80"/>
              </w:rPr>
              <w:t>rea</w:t>
            </w:r>
            <w:r w:rsidR="00340625">
              <w:rPr>
                <w:color w:val="808080" w:themeColor="background1" w:themeShade="80"/>
              </w:rPr>
              <w:t>-</w:t>
            </w:r>
            <w:r w:rsidRPr="006C29CE">
              <w:rPr>
                <w:color w:val="808080" w:themeColor="background1" w:themeShade="80"/>
              </w:rPr>
              <w:t>dmission</w:t>
            </w:r>
            <w:r>
              <w:rPr>
                <w:color w:val="808080" w:themeColor="background1" w:themeShade="80"/>
              </w:rPr>
              <w:t>s</w:t>
            </w:r>
            <w:r w:rsidRPr="006C29CE">
              <w:rPr>
                <w:color w:val="808080" w:themeColor="background1" w:themeShade="80"/>
              </w:rPr>
              <w:t xml:space="preserve">, and </w:t>
            </w:r>
            <w:r>
              <w:rPr>
                <w:color w:val="808080" w:themeColor="background1" w:themeShade="80"/>
              </w:rPr>
              <w:t xml:space="preserve">reduce the </w:t>
            </w:r>
            <w:r w:rsidRPr="006C29CE">
              <w:rPr>
                <w:color w:val="808080" w:themeColor="background1" w:themeShade="80"/>
              </w:rPr>
              <w:t>frequency of outpatient visits.</w:t>
            </w:r>
            <w:r w:rsidR="00340625">
              <w:rPr>
                <w:color w:val="808080" w:themeColor="background1" w:themeShade="80"/>
              </w:rPr>
              <w:t xml:space="preserve"> </w:t>
            </w:r>
            <w:r w:rsidR="00340625">
              <w:rPr>
                <w:rFonts w:ascii="Calibri" w:eastAsia="Times New Roman" w:hAnsi="Calibri" w:cs="Times New Roman"/>
                <w:color w:val="77787B"/>
              </w:rPr>
              <w:t>The working group will review tools to come to consensus on network-wide goals of regimen</w:t>
            </w:r>
            <w:r w:rsidR="00B90D49">
              <w:rPr>
                <w:rFonts w:ascii="Calibri" w:eastAsia="Times New Roman" w:hAnsi="Calibri" w:cs="Times New Roman"/>
                <w:color w:val="77787B"/>
              </w:rPr>
              <w:t>, dose</w:t>
            </w:r>
            <w:r w:rsidR="00340625">
              <w:rPr>
                <w:rFonts w:ascii="Calibri" w:eastAsia="Times New Roman" w:hAnsi="Calibri" w:cs="Times New Roman"/>
                <w:color w:val="77787B"/>
              </w:rPr>
              <w:t xml:space="preserve">, </w:t>
            </w:r>
            <w:r w:rsidR="00B90D49">
              <w:rPr>
                <w:rFonts w:ascii="Calibri" w:eastAsia="Times New Roman" w:hAnsi="Calibri" w:cs="Times New Roman"/>
                <w:color w:val="77787B"/>
              </w:rPr>
              <w:t>cadence</w:t>
            </w:r>
            <w:r w:rsidR="00340625">
              <w:rPr>
                <w:rFonts w:ascii="Calibri" w:eastAsia="Times New Roman" w:hAnsi="Calibri" w:cs="Times New Roman"/>
                <w:color w:val="77787B"/>
              </w:rPr>
              <w:t xml:space="preserve"> and safety monitoring </w:t>
            </w:r>
            <w:r w:rsidR="00B90D49">
              <w:rPr>
                <w:rFonts w:ascii="Calibri" w:eastAsia="Times New Roman" w:hAnsi="Calibri" w:cs="Times New Roman"/>
                <w:color w:val="77787B"/>
              </w:rPr>
              <w:t>of uptitration</w:t>
            </w:r>
            <w:r w:rsidR="00340625">
              <w:rPr>
                <w:rFonts w:ascii="Calibri" w:eastAsia="Times New Roman" w:hAnsi="Calibri" w:cs="Times New Roman"/>
                <w:color w:val="77787B"/>
              </w:rPr>
              <w:t>; as always, this QI process is a voluntary project. Only ACTION sites who choose to participate in this project will have their data included. Sites choosing to participate will receive tools to help create patient-specific plans for uptitration, with still control over specific medication choice, order of uptitration, but with commitment to undertake the titration and safety checks.</w:t>
            </w:r>
          </w:p>
          <w:p w14:paraId="253D8AAD" w14:textId="77777777" w:rsidR="00340625" w:rsidRDefault="00340625" w:rsidP="00CE2FF9">
            <w:pPr>
              <w:rPr>
                <w:rFonts w:ascii="Calibri" w:eastAsia="Times New Roman" w:hAnsi="Calibri" w:cs="Times New Roman"/>
                <w:color w:val="77787B"/>
              </w:rPr>
            </w:pPr>
          </w:p>
          <w:p w14:paraId="15BD7EB3" w14:textId="4146713B" w:rsidR="00F54EC0" w:rsidRPr="00F54EC0" w:rsidRDefault="003A134C" w:rsidP="00CE2FF9">
            <w:pPr>
              <w:rPr>
                <w:rFonts w:eastAsia="Times New Roman" w:cstheme="minorHAnsi"/>
                <w:iCs/>
                <w:color w:val="77787B"/>
              </w:rPr>
            </w:pPr>
            <w:r>
              <w:rPr>
                <w:rFonts w:ascii="Calibri" w:eastAsia="Times New Roman" w:hAnsi="Calibri" w:cs="Times New Roman"/>
                <w:color w:val="77787B"/>
              </w:rPr>
              <w:t xml:space="preserve">A focus will be to use not only in-person visits, but other modes of communication, including telephone and telehealth. </w:t>
            </w:r>
            <w:r>
              <w:rPr>
                <w:rFonts w:ascii="Calibri" w:eastAsia="Times New Roman" w:hAnsi="Calibri" w:cs="Times New Roman"/>
                <w:iCs/>
                <w:color w:val="77787B"/>
              </w:rPr>
              <w:t xml:space="preserve">patients will be “seen” via telehealth on a regular basis to check in on their clinical status and determine if up-titration is possible until target doses are achieved. We would anticipate these “visits” would occur more frequently than standard in-person clinic visits and thus allow for improved cadence of up-titration of meds. </w:t>
            </w:r>
            <w:r>
              <w:rPr>
                <w:rFonts w:ascii="Calibri" w:eastAsia="Times New Roman" w:hAnsi="Calibri" w:cs="Times New Roman"/>
                <w:color w:val="77787B"/>
              </w:rPr>
              <w:t xml:space="preserve">Lastly, an aim will be for each site to consider use of collaborating providers, including pharmacists and nurses alongside prescribing team to facilitate uptitration. </w:t>
            </w:r>
          </w:p>
          <w:p w14:paraId="21B248AF" w14:textId="13C1D395" w:rsidR="00F54EC0" w:rsidRDefault="00F54EC0" w:rsidP="00562233">
            <w:pPr>
              <w:rPr>
                <w:rFonts w:ascii="Calibri" w:eastAsia="Times New Roman" w:hAnsi="Calibri" w:cs="Times New Roman"/>
                <w:iCs/>
                <w:color w:val="77787B"/>
              </w:rPr>
            </w:pPr>
          </w:p>
          <w:p w14:paraId="0DDEC529" w14:textId="6D13A8ED" w:rsidR="00340625" w:rsidRDefault="00340625" w:rsidP="00562233">
            <w:pPr>
              <w:rPr>
                <w:rFonts w:ascii="Calibri" w:eastAsia="Times New Roman" w:hAnsi="Calibri" w:cs="Times New Roman"/>
                <w:iCs/>
                <w:color w:val="77787B"/>
              </w:rPr>
            </w:pPr>
            <w:r>
              <w:rPr>
                <w:rFonts w:ascii="Calibri" w:eastAsia="Times New Roman" w:hAnsi="Calibri" w:cs="Times New Roman"/>
                <w:iCs/>
                <w:color w:val="77787B"/>
              </w:rPr>
              <w:t xml:space="preserve">Initial data entry will be focused on understanding baseline data in select sites. Upon implementation, we will collect patient-level data of diagnosis, function, initial medications (in relation to goal). </w:t>
            </w:r>
          </w:p>
          <w:p w14:paraId="4F9B2921" w14:textId="281DA6EC" w:rsidR="00F54EC0" w:rsidRPr="00F54EC0" w:rsidRDefault="003A134C" w:rsidP="00996B8E">
            <w:pPr>
              <w:rPr>
                <w:rFonts w:ascii="Calibri" w:eastAsia="Times New Roman" w:hAnsi="Calibri" w:cs="Times New Roman"/>
                <w:iCs/>
                <w:color w:val="77787B"/>
              </w:rPr>
            </w:pPr>
            <w:r>
              <w:rPr>
                <w:rFonts w:ascii="Calibri" w:eastAsia="Times New Roman" w:hAnsi="Calibri" w:cs="Times New Roman"/>
                <w:iCs/>
                <w:color w:val="77787B"/>
              </w:rPr>
              <w:t>At the patient level, initial scope will include data entry for p</w:t>
            </w:r>
            <w:r w:rsidR="00D26D11">
              <w:rPr>
                <w:rFonts w:ascii="Calibri" w:eastAsia="Times New Roman" w:hAnsi="Calibri" w:cs="Times New Roman"/>
                <w:iCs/>
                <w:color w:val="77787B"/>
              </w:rPr>
              <w:t xml:space="preserve">atients with </w:t>
            </w:r>
            <w:r w:rsidR="00B90D49">
              <w:rPr>
                <w:rFonts w:ascii="Calibri" w:eastAsia="Times New Roman" w:hAnsi="Calibri" w:cs="Times New Roman"/>
                <w:iCs/>
                <w:color w:val="77787B"/>
              </w:rPr>
              <w:t xml:space="preserve">moderate or greater </w:t>
            </w:r>
            <w:r w:rsidR="00D26D11">
              <w:rPr>
                <w:rFonts w:ascii="Calibri" w:eastAsia="Times New Roman" w:hAnsi="Calibri" w:cs="Times New Roman"/>
                <w:iCs/>
                <w:color w:val="77787B"/>
              </w:rPr>
              <w:t>systemic LV dysfunction</w:t>
            </w:r>
            <w:r>
              <w:rPr>
                <w:rFonts w:ascii="Calibri" w:eastAsia="Times New Roman" w:hAnsi="Calibri" w:cs="Times New Roman"/>
                <w:iCs/>
                <w:color w:val="77787B"/>
              </w:rPr>
              <w:t xml:space="preserve">, although sites may employ tools for any population they see fit to do so. </w:t>
            </w:r>
            <w:r w:rsidR="00996B8E">
              <w:rPr>
                <w:rFonts w:ascii="Calibri" w:eastAsia="Times New Roman" w:hAnsi="Calibri" w:cs="Times New Roman"/>
                <w:iCs/>
                <w:color w:val="77787B"/>
              </w:rPr>
              <w:t xml:space="preserve">Exclusion criteria will include </w:t>
            </w:r>
            <w:r>
              <w:rPr>
                <w:rFonts w:ascii="Calibri" w:eastAsia="Times New Roman" w:hAnsi="Calibri" w:cs="Times New Roman"/>
                <w:iCs/>
                <w:color w:val="77787B"/>
              </w:rPr>
              <w:t>patient with right ventricular dysfunction as the aim of the medication changes.</w:t>
            </w:r>
          </w:p>
        </w:tc>
      </w:tr>
      <w:tr w:rsidR="00F54EC0" w:rsidRPr="00F54EC0" w14:paraId="5519B4B8" w14:textId="77777777" w:rsidTr="00C247FE">
        <w:trPr>
          <w:gridAfter w:val="1"/>
          <w:wAfter w:w="87" w:type="dxa"/>
          <w:trHeight w:val="300"/>
        </w:trPr>
        <w:tc>
          <w:tcPr>
            <w:tcW w:w="4007" w:type="dxa"/>
            <w:gridSpan w:val="5"/>
            <w:tcBorders>
              <w:top w:val="single" w:sz="4" w:space="0" w:color="auto"/>
              <w:left w:val="single" w:sz="4" w:space="0" w:color="auto"/>
              <w:bottom w:val="single" w:sz="4" w:space="0" w:color="auto"/>
              <w:right w:val="nil"/>
            </w:tcBorders>
            <w:shd w:val="clear" w:color="auto" w:fill="D9EFED"/>
            <w:noWrap/>
            <w:vAlign w:val="bottom"/>
            <w:hideMark/>
          </w:tcPr>
          <w:p w14:paraId="3C8C87C7" w14:textId="77777777" w:rsidR="00F54EC0" w:rsidRPr="00F54EC0" w:rsidRDefault="00F54EC0" w:rsidP="00562233">
            <w:pPr>
              <w:rPr>
                <w:rFonts w:ascii="Calibri" w:eastAsia="Times New Roman" w:hAnsi="Calibri" w:cs="Times New Roman"/>
                <w:b/>
                <w:bCs/>
                <w:color w:val="77787B"/>
              </w:rPr>
            </w:pPr>
            <w:r w:rsidRPr="00F54EC0">
              <w:rPr>
                <w:rFonts w:ascii="Calibri" w:eastAsia="Times New Roman" w:hAnsi="Calibri" w:cs="Times New Roman"/>
                <w:b/>
                <w:bCs/>
                <w:color w:val="77787B"/>
              </w:rPr>
              <w:t>D. High Level Timeline/Schedule:</w:t>
            </w:r>
          </w:p>
        </w:tc>
        <w:tc>
          <w:tcPr>
            <w:tcW w:w="250" w:type="dxa"/>
            <w:tcBorders>
              <w:top w:val="single" w:sz="4" w:space="0" w:color="auto"/>
              <w:left w:val="nil"/>
              <w:bottom w:val="single" w:sz="4" w:space="0" w:color="auto"/>
              <w:right w:val="nil"/>
            </w:tcBorders>
            <w:shd w:val="clear" w:color="auto" w:fill="D9EFED"/>
            <w:noWrap/>
            <w:vAlign w:val="bottom"/>
            <w:hideMark/>
          </w:tcPr>
          <w:p w14:paraId="7641C331"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53EA3033"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5A48090A"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88FAFC8"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575BC1"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4167DB9F"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1803" w:type="dxa"/>
            <w:tcBorders>
              <w:top w:val="single" w:sz="4" w:space="0" w:color="auto"/>
              <w:left w:val="nil"/>
              <w:bottom w:val="single" w:sz="4" w:space="0" w:color="auto"/>
              <w:right w:val="single" w:sz="4" w:space="0" w:color="auto"/>
            </w:tcBorders>
            <w:shd w:val="clear" w:color="auto" w:fill="D9EFED"/>
            <w:noWrap/>
            <w:vAlign w:val="bottom"/>
            <w:hideMark/>
          </w:tcPr>
          <w:p w14:paraId="48613ACD"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r>
      <w:tr w:rsidR="00F54EC0" w:rsidRPr="00F54EC0" w14:paraId="087E08CB" w14:textId="77777777" w:rsidTr="00C247FE">
        <w:trPr>
          <w:gridAfter w:val="1"/>
          <w:wAfter w:w="87" w:type="dxa"/>
          <w:trHeight w:val="1440"/>
        </w:trPr>
        <w:tc>
          <w:tcPr>
            <w:tcW w:w="10900" w:type="dxa"/>
            <w:gridSpan w:val="24"/>
            <w:tcBorders>
              <w:top w:val="single" w:sz="4" w:space="0" w:color="auto"/>
              <w:left w:val="single" w:sz="4" w:space="0" w:color="auto"/>
              <w:bottom w:val="single" w:sz="4" w:space="0" w:color="auto"/>
              <w:right w:val="single" w:sz="4" w:space="0" w:color="000000"/>
            </w:tcBorders>
            <w:shd w:val="clear" w:color="000000" w:fill="FFFFFF"/>
            <w:hideMark/>
          </w:tcPr>
          <w:p w14:paraId="6B5A766C" w14:textId="4B54FE90" w:rsidR="00F54EC0" w:rsidRPr="00F54EC0" w:rsidRDefault="00773A92" w:rsidP="005705E9">
            <w:pPr>
              <w:rPr>
                <w:rFonts w:eastAsia="Times New Roman" w:cstheme="minorHAnsi"/>
                <w:color w:val="77787B"/>
              </w:rPr>
            </w:pPr>
            <w:r>
              <w:rPr>
                <w:rFonts w:eastAsia="Times New Roman" w:cstheme="minorHAnsi"/>
                <w:color w:val="77787B"/>
              </w:rPr>
              <w:t>The kickoff meeting will be</w:t>
            </w:r>
            <w:r w:rsidR="00D272DD">
              <w:rPr>
                <w:rFonts w:eastAsia="Times New Roman" w:cstheme="minorHAnsi"/>
                <w:color w:val="77787B"/>
              </w:rPr>
              <w:t xml:space="preserve"> planned for later this spring/early summer in conjunction with the ACTION Heart Failure Committee’s input</w:t>
            </w:r>
            <w:r>
              <w:rPr>
                <w:rFonts w:eastAsia="Times New Roman" w:cstheme="minorHAnsi"/>
                <w:color w:val="77787B"/>
              </w:rPr>
              <w:t xml:space="preserve">. </w:t>
            </w:r>
            <w:r w:rsidR="00D272DD">
              <w:rPr>
                <w:rFonts w:eastAsia="Times New Roman" w:cstheme="minorHAnsi"/>
                <w:color w:val="77787B"/>
              </w:rPr>
              <w:t xml:space="preserve">Once live, </w:t>
            </w:r>
            <w:r>
              <w:rPr>
                <w:rFonts w:eastAsia="Times New Roman" w:cstheme="minorHAnsi"/>
                <w:color w:val="77787B"/>
              </w:rPr>
              <w:t xml:space="preserve">participating sites will enter data summarizing </w:t>
            </w:r>
            <w:r w:rsidR="00D272DD">
              <w:rPr>
                <w:rFonts w:eastAsia="Times New Roman" w:cstheme="minorHAnsi"/>
                <w:color w:val="77787B"/>
              </w:rPr>
              <w:t>data as detailed above</w:t>
            </w:r>
            <w:r w:rsidR="009726F5">
              <w:rPr>
                <w:rFonts w:eastAsia="Times New Roman" w:cstheme="minorHAnsi"/>
                <w:color w:val="77787B"/>
              </w:rPr>
              <w:t xml:space="preserve"> on a monthly basis.</w:t>
            </w:r>
          </w:p>
        </w:tc>
      </w:tr>
      <w:tr w:rsidR="00F54EC0" w:rsidRPr="00F54EC0" w14:paraId="47C05DBA" w14:textId="77777777" w:rsidTr="00C247FE">
        <w:trPr>
          <w:gridAfter w:val="1"/>
          <w:wAfter w:w="87" w:type="dxa"/>
          <w:trHeight w:val="332"/>
        </w:trPr>
        <w:tc>
          <w:tcPr>
            <w:tcW w:w="4257" w:type="dxa"/>
            <w:gridSpan w:val="6"/>
            <w:tcBorders>
              <w:top w:val="single" w:sz="4" w:space="0" w:color="auto"/>
              <w:left w:val="single" w:sz="4" w:space="0" w:color="auto"/>
              <w:bottom w:val="single" w:sz="4" w:space="0" w:color="auto"/>
              <w:right w:val="nil"/>
            </w:tcBorders>
            <w:shd w:val="clear" w:color="auto" w:fill="D9EFED"/>
            <w:noWrap/>
            <w:vAlign w:val="bottom"/>
            <w:hideMark/>
          </w:tcPr>
          <w:p w14:paraId="66241B73" w14:textId="77777777" w:rsidR="00F54EC0" w:rsidRPr="00F54EC0" w:rsidRDefault="00F54EC0" w:rsidP="00562233">
            <w:pPr>
              <w:rPr>
                <w:rFonts w:ascii="Calibri" w:eastAsia="Times New Roman" w:hAnsi="Calibri" w:cs="Times New Roman"/>
                <w:b/>
                <w:bCs/>
                <w:color w:val="77787B"/>
              </w:rPr>
            </w:pPr>
            <w:r w:rsidRPr="00F54EC0">
              <w:rPr>
                <w:rFonts w:ascii="Calibri" w:eastAsia="Times New Roman" w:hAnsi="Calibri" w:cs="Times New Roman"/>
                <w:b/>
                <w:bCs/>
                <w:color w:val="77787B"/>
              </w:rPr>
              <w:t>E. Communication &amp; Expectations:</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23E0477"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703DFC1B" w14:textId="77777777" w:rsidR="00F54EC0" w:rsidRPr="00F54EC0" w:rsidRDefault="00F54EC0" w:rsidP="00562233">
            <w:pPr>
              <w:rPr>
                <w:rFonts w:ascii="Calibri" w:eastAsia="Times New Roman" w:hAnsi="Calibri" w:cs="Times New Roman"/>
                <w:color w:val="77787B"/>
              </w:rPr>
            </w:pP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4FD7E77"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E94903"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FA2D142"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c>
          <w:tcPr>
            <w:tcW w:w="1803" w:type="dxa"/>
            <w:tcBorders>
              <w:top w:val="single" w:sz="4" w:space="0" w:color="auto"/>
              <w:left w:val="nil"/>
              <w:bottom w:val="single" w:sz="4" w:space="0" w:color="auto"/>
              <w:right w:val="single" w:sz="4" w:space="0" w:color="auto"/>
            </w:tcBorders>
            <w:shd w:val="clear" w:color="auto" w:fill="D9EFED"/>
            <w:noWrap/>
            <w:vAlign w:val="bottom"/>
            <w:hideMark/>
          </w:tcPr>
          <w:p w14:paraId="44428A4C"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color w:val="77787B"/>
              </w:rPr>
              <w:t> </w:t>
            </w:r>
          </w:p>
        </w:tc>
      </w:tr>
      <w:tr w:rsidR="00F54EC0" w:rsidRPr="00F54EC0" w14:paraId="4B6EBC2F" w14:textId="77777777" w:rsidTr="00C247FE">
        <w:trPr>
          <w:gridAfter w:val="1"/>
          <w:wAfter w:w="87" w:type="dxa"/>
          <w:trHeight w:val="1287"/>
        </w:trPr>
        <w:tc>
          <w:tcPr>
            <w:tcW w:w="10900" w:type="dxa"/>
            <w:gridSpan w:val="24"/>
            <w:tcBorders>
              <w:top w:val="single" w:sz="4" w:space="0" w:color="auto"/>
              <w:left w:val="single" w:sz="4" w:space="0" w:color="auto"/>
              <w:bottom w:val="single" w:sz="4" w:space="0" w:color="auto"/>
              <w:right w:val="single" w:sz="4" w:space="0" w:color="000000"/>
            </w:tcBorders>
            <w:shd w:val="clear" w:color="000000" w:fill="FFFFFF"/>
          </w:tcPr>
          <w:p w14:paraId="39D8736D" w14:textId="0A53A1D4" w:rsidR="00F54EC0" w:rsidRPr="00F54EC0" w:rsidRDefault="009726F5" w:rsidP="00562233">
            <w:pPr>
              <w:rPr>
                <w:rFonts w:ascii="Calibri" w:eastAsia="Times New Roman" w:hAnsi="Calibri" w:cs="Times New Roman"/>
                <w:color w:val="77787B"/>
              </w:rPr>
            </w:pPr>
            <w:r>
              <w:rPr>
                <w:rFonts w:ascii="Calibri" w:eastAsia="Times New Roman" w:hAnsi="Calibri" w:cs="Times New Roman"/>
                <w:color w:val="77787B"/>
              </w:rPr>
              <w:t xml:space="preserve">At the initiation of the project, there will be monthly Zoom meetings to </w:t>
            </w:r>
            <w:r w:rsidR="00D272DD">
              <w:rPr>
                <w:rFonts w:ascii="Calibri" w:eastAsia="Times New Roman" w:hAnsi="Calibri" w:cs="Times New Roman"/>
                <w:color w:val="77787B"/>
              </w:rPr>
              <w:t>review results and design interventions as needed to achieve the aim</w:t>
            </w:r>
            <w:r>
              <w:rPr>
                <w:rFonts w:ascii="Calibri" w:eastAsia="Times New Roman" w:hAnsi="Calibri" w:cs="Times New Roman"/>
                <w:color w:val="77787B"/>
              </w:rPr>
              <w:t>.  The frequency of these meetings may change as the project evolves.  At a minimum, participating centers will be expected to enter monthly data from their center into RedCap and participate in regular meetings.  There is also an expectation that centers will participate in new initiatives that arise during the course the project.</w:t>
            </w:r>
          </w:p>
          <w:p w14:paraId="3FD0E1AF" w14:textId="77777777" w:rsidR="00F54EC0" w:rsidRPr="00F54EC0" w:rsidRDefault="00F54EC0" w:rsidP="00562233">
            <w:pPr>
              <w:rPr>
                <w:rFonts w:ascii="Calibri" w:eastAsia="Times New Roman" w:hAnsi="Calibri" w:cs="Times New Roman"/>
                <w:color w:val="77787B"/>
              </w:rPr>
            </w:pPr>
          </w:p>
        </w:tc>
      </w:tr>
      <w:tr w:rsidR="00F54EC0" w:rsidRPr="00F54EC0" w14:paraId="2286C3A0" w14:textId="77777777" w:rsidTr="00C247FE">
        <w:trPr>
          <w:gridAfter w:val="1"/>
          <w:wAfter w:w="87" w:type="dxa"/>
          <w:trHeight w:val="300"/>
        </w:trPr>
        <w:tc>
          <w:tcPr>
            <w:tcW w:w="10900" w:type="dxa"/>
            <w:gridSpan w:val="24"/>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72362718" w14:textId="77777777" w:rsidR="00F54EC0" w:rsidRPr="00F54EC0" w:rsidRDefault="00F54EC0" w:rsidP="00562233">
            <w:pPr>
              <w:rPr>
                <w:rFonts w:ascii="Calibri" w:eastAsia="Times New Roman" w:hAnsi="Calibri" w:cs="Times New Roman"/>
                <w:color w:val="77787B"/>
              </w:rPr>
            </w:pPr>
            <w:r w:rsidRPr="00F54EC0">
              <w:rPr>
                <w:rFonts w:ascii="Calibri" w:eastAsia="Times New Roman" w:hAnsi="Calibri" w:cs="Times New Roman"/>
                <w:b/>
                <w:bCs/>
                <w:color w:val="77787B"/>
              </w:rPr>
              <w:t>G. Project Risks &amp; Mitigation</w:t>
            </w:r>
            <w:r w:rsidRPr="00F54EC0">
              <w:rPr>
                <w:rFonts w:ascii="Calibri" w:eastAsia="Times New Roman" w:hAnsi="Calibri" w:cs="Times New Roman"/>
                <w:color w:val="77787B"/>
              </w:rPr>
              <w:t>:</w:t>
            </w:r>
          </w:p>
        </w:tc>
      </w:tr>
      <w:tr w:rsidR="00F54EC0" w:rsidRPr="00F54EC0" w14:paraId="0577291A" w14:textId="77777777" w:rsidTr="00C247FE">
        <w:trPr>
          <w:gridAfter w:val="1"/>
          <w:wAfter w:w="87" w:type="dxa"/>
          <w:trHeight w:val="255"/>
        </w:trPr>
        <w:tc>
          <w:tcPr>
            <w:tcW w:w="26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8700" w14:textId="77777777" w:rsidR="00F54EC0" w:rsidRPr="00F54EC0" w:rsidRDefault="00F54EC0" w:rsidP="00562233">
            <w:pPr>
              <w:jc w:val="center"/>
              <w:rPr>
                <w:rFonts w:ascii="Calibri" w:eastAsia="Times New Roman" w:hAnsi="Calibri" w:cs="Times New Roman"/>
                <w:b/>
                <w:bCs/>
                <w:color w:val="77787B"/>
                <w:sz w:val="20"/>
                <w:szCs w:val="20"/>
              </w:rPr>
            </w:pPr>
            <w:r w:rsidRPr="00F54EC0">
              <w:rPr>
                <w:rFonts w:ascii="Calibri" w:eastAsia="Times New Roman" w:hAnsi="Calibri" w:cs="Times New Roman"/>
                <w:b/>
                <w:bCs/>
                <w:color w:val="77787B"/>
                <w:sz w:val="20"/>
                <w:szCs w:val="20"/>
              </w:rPr>
              <w:t>Risk</w:t>
            </w:r>
          </w:p>
        </w:tc>
        <w:tc>
          <w:tcPr>
            <w:tcW w:w="2007"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0046D57C" w14:textId="77777777" w:rsidR="00F54EC0" w:rsidRPr="00F54EC0" w:rsidRDefault="00F54EC0" w:rsidP="00562233">
            <w:pPr>
              <w:jc w:val="center"/>
              <w:rPr>
                <w:rFonts w:ascii="Calibri" w:eastAsia="Times New Roman" w:hAnsi="Calibri" w:cs="Times New Roman"/>
                <w:b/>
                <w:bCs/>
                <w:color w:val="77787B"/>
                <w:sz w:val="20"/>
                <w:szCs w:val="20"/>
              </w:rPr>
            </w:pPr>
            <w:r w:rsidRPr="00F54EC0">
              <w:rPr>
                <w:rFonts w:ascii="Calibri" w:eastAsia="Times New Roman" w:hAnsi="Calibri" w:cs="Times New Roman"/>
                <w:b/>
                <w:bCs/>
                <w:color w:val="77787B"/>
                <w:sz w:val="20"/>
                <w:szCs w:val="20"/>
              </w:rPr>
              <w:t>Level (high/med/low)</w:t>
            </w:r>
          </w:p>
        </w:tc>
        <w:tc>
          <w:tcPr>
            <w:tcW w:w="6205" w:type="dxa"/>
            <w:gridSpan w:val="16"/>
            <w:tcBorders>
              <w:top w:val="single" w:sz="4" w:space="0" w:color="auto"/>
              <w:left w:val="nil"/>
              <w:bottom w:val="single" w:sz="4" w:space="0" w:color="auto"/>
              <w:right w:val="single" w:sz="4" w:space="0" w:color="auto"/>
            </w:tcBorders>
            <w:shd w:val="clear" w:color="000000" w:fill="FFFFFF"/>
            <w:noWrap/>
            <w:vAlign w:val="bottom"/>
            <w:hideMark/>
          </w:tcPr>
          <w:p w14:paraId="3878984A" w14:textId="77777777" w:rsidR="00F54EC0" w:rsidRPr="00F54EC0" w:rsidRDefault="00F54EC0" w:rsidP="00562233">
            <w:pPr>
              <w:jc w:val="center"/>
              <w:rPr>
                <w:rFonts w:ascii="Calibri" w:eastAsia="Times New Roman" w:hAnsi="Calibri" w:cs="Times New Roman"/>
                <w:b/>
                <w:bCs/>
                <w:color w:val="77787B"/>
                <w:sz w:val="20"/>
                <w:szCs w:val="20"/>
              </w:rPr>
            </w:pPr>
            <w:r w:rsidRPr="00F54EC0">
              <w:rPr>
                <w:rFonts w:ascii="Calibri" w:eastAsia="Times New Roman" w:hAnsi="Calibri" w:cs="Times New Roman"/>
                <w:b/>
                <w:bCs/>
                <w:color w:val="77787B"/>
                <w:sz w:val="20"/>
                <w:szCs w:val="20"/>
              </w:rPr>
              <w:t>Mitigation and Escalation Strategy</w:t>
            </w:r>
          </w:p>
        </w:tc>
      </w:tr>
      <w:tr w:rsidR="00F54EC0" w:rsidRPr="00F54EC0" w14:paraId="6DFF5882" w14:textId="77777777" w:rsidTr="002C5824">
        <w:trPr>
          <w:gridAfter w:val="1"/>
          <w:wAfter w:w="87" w:type="dxa"/>
          <w:trHeight w:val="476"/>
        </w:trPr>
        <w:tc>
          <w:tcPr>
            <w:tcW w:w="2688" w:type="dxa"/>
            <w:tcBorders>
              <w:top w:val="single" w:sz="4" w:space="0" w:color="auto"/>
              <w:left w:val="single" w:sz="4" w:space="0" w:color="auto"/>
              <w:bottom w:val="single" w:sz="4" w:space="0" w:color="auto"/>
              <w:right w:val="single" w:sz="4" w:space="0" w:color="000000"/>
            </w:tcBorders>
            <w:shd w:val="clear" w:color="000000" w:fill="FFFFFF"/>
            <w:noWrap/>
            <w:hideMark/>
          </w:tcPr>
          <w:p w14:paraId="4770809E" w14:textId="3FD32994" w:rsidR="00F54EC0" w:rsidRPr="00F54EC0" w:rsidRDefault="009726F5" w:rsidP="00562233">
            <w:pPr>
              <w:rPr>
                <w:rFonts w:eastAsia="Times New Roman" w:cstheme="minorHAnsi"/>
                <w:color w:val="77787B"/>
                <w:sz w:val="20"/>
                <w:szCs w:val="20"/>
              </w:rPr>
            </w:pPr>
            <w:r>
              <w:rPr>
                <w:rFonts w:eastAsia="Times New Roman" w:cstheme="minorHAnsi"/>
                <w:color w:val="77787B"/>
                <w:sz w:val="20"/>
                <w:szCs w:val="20"/>
              </w:rPr>
              <w:t>Poor participation from centers</w:t>
            </w:r>
          </w:p>
        </w:tc>
        <w:tc>
          <w:tcPr>
            <w:tcW w:w="200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20313C0" w14:textId="4E437ADE" w:rsidR="00F54EC0" w:rsidRPr="00F54EC0" w:rsidRDefault="00F54EC0" w:rsidP="00562233">
            <w:pPr>
              <w:jc w:val="center"/>
              <w:rPr>
                <w:rFonts w:ascii="Calibri" w:eastAsia="Times New Roman" w:hAnsi="Calibri" w:cs="Times New Roman"/>
                <w:color w:val="77787B"/>
                <w:sz w:val="20"/>
                <w:szCs w:val="20"/>
              </w:rPr>
            </w:pPr>
            <w:r w:rsidRPr="00F54EC0">
              <w:rPr>
                <w:rFonts w:ascii="Calibri" w:eastAsia="Times New Roman" w:hAnsi="Calibri" w:cs="Times New Roman"/>
                <w:color w:val="77787B"/>
                <w:sz w:val="20"/>
                <w:szCs w:val="20"/>
              </w:rPr>
              <w:t> </w:t>
            </w:r>
            <w:r w:rsidR="009726F5">
              <w:rPr>
                <w:rFonts w:ascii="Calibri" w:eastAsia="Times New Roman" w:hAnsi="Calibri" w:cs="Times New Roman"/>
                <w:color w:val="77787B"/>
                <w:sz w:val="20"/>
                <w:szCs w:val="20"/>
              </w:rPr>
              <w:t>Low</w:t>
            </w:r>
          </w:p>
        </w:tc>
        <w:tc>
          <w:tcPr>
            <w:tcW w:w="6205" w:type="dxa"/>
            <w:gridSpan w:val="16"/>
            <w:tcBorders>
              <w:top w:val="single" w:sz="4" w:space="0" w:color="auto"/>
              <w:left w:val="nil"/>
              <w:bottom w:val="single" w:sz="4" w:space="0" w:color="auto"/>
              <w:right w:val="single" w:sz="4" w:space="0" w:color="auto"/>
            </w:tcBorders>
            <w:shd w:val="clear" w:color="000000" w:fill="FFFFFF"/>
            <w:vAlign w:val="center"/>
            <w:hideMark/>
          </w:tcPr>
          <w:p w14:paraId="0B198B3D" w14:textId="437A6C70" w:rsidR="00F54EC0" w:rsidRPr="00F54EC0" w:rsidRDefault="0061426D"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 xml:space="preserve">It is possible that there will be little widespread interest from centers in participating due to data entry burden, etc.  Given the </w:t>
            </w:r>
            <w:r w:rsidR="0060746F">
              <w:rPr>
                <w:rFonts w:ascii="Calibri" w:eastAsia="Times New Roman" w:hAnsi="Calibri" w:cs="Times New Roman"/>
                <w:color w:val="77787B"/>
                <w:sz w:val="20"/>
                <w:szCs w:val="20"/>
              </w:rPr>
              <w:t xml:space="preserve">widely acknowledged </w:t>
            </w:r>
            <w:r>
              <w:rPr>
                <w:rFonts w:ascii="Calibri" w:eastAsia="Times New Roman" w:hAnsi="Calibri" w:cs="Times New Roman"/>
                <w:color w:val="77787B"/>
                <w:sz w:val="20"/>
                <w:szCs w:val="20"/>
              </w:rPr>
              <w:t xml:space="preserve">need </w:t>
            </w:r>
            <w:r w:rsidR="0060746F">
              <w:rPr>
                <w:rFonts w:ascii="Calibri" w:eastAsia="Times New Roman" w:hAnsi="Calibri" w:cs="Times New Roman"/>
                <w:color w:val="77787B"/>
                <w:sz w:val="20"/>
                <w:szCs w:val="20"/>
              </w:rPr>
              <w:t>to increase CHF meds in many pts that is slowed by relatively infrequent in-person visits, telehealth may be seen as great stride forward to more efficiently optimize a pt’s med doses</w:t>
            </w:r>
            <w:r>
              <w:rPr>
                <w:rFonts w:ascii="Calibri" w:eastAsia="Times New Roman" w:hAnsi="Calibri" w:cs="Times New Roman"/>
                <w:color w:val="77787B"/>
                <w:sz w:val="20"/>
                <w:szCs w:val="20"/>
              </w:rPr>
              <w:t xml:space="preserve"> </w:t>
            </w:r>
          </w:p>
        </w:tc>
      </w:tr>
      <w:tr w:rsidR="00F54EC0" w:rsidRPr="00F54EC0" w14:paraId="2B83F0C3" w14:textId="77777777" w:rsidTr="00CE2FF9">
        <w:trPr>
          <w:gridAfter w:val="1"/>
          <w:wAfter w:w="87" w:type="dxa"/>
          <w:trHeight w:val="431"/>
        </w:trPr>
        <w:tc>
          <w:tcPr>
            <w:tcW w:w="2688" w:type="dxa"/>
            <w:tcBorders>
              <w:top w:val="single" w:sz="4" w:space="0" w:color="auto"/>
              <w:left w:val="single" w:sz="4" w:space="0" w:color="auto"/>
              <w:bottom w:val="single" w:sz="4" w:space="0" w:color="auto"/>
              <w:right w:val="single" w:sz="4" w:space="0" w:color="auto"/>
            </w:tcBorders>
            <w:shd w:val="clear" w:color="000000" w:fill="FFFFFF"/>
          </w:tcPr>
          <w:p w14:paraId="77F359A7" w14:textId="54C4F29D" w:rsidR="00F54EC0" w:rsidRPr="00F54EC0" w:rsidRDefault="009726F5" w:rsidP="00562233">
            <w:pPr>
              <w:rPr>
                <w:rFonts w:eastAsia="Times New Roman" w:cstheme="minorHAnsi"/>
                <w:color w:val="77787B"/>
                <w:sz w:val="20"/>
                <w:szCs w:val="20"/>
              </w:rPr>
            </w:pPr>
            <w:r>
              <w:rPr>
                <w:rFonts w:eastAsia="Times New Roman" w:cstheme="minorHAnsi"/>
                <w:color w:val="77787B"/>
                <w:sz w:val="20"/>
                <w:szCs w:val="20"/>
              </w:rPr>
              <w:lastRenderedPageBreak/>
              <w:t>Centers do not keep up with data entry</w:t>
            </w:r>
          </w:p>
        </w:tc>
        <w:tc>
          <w:tcPr>
            <w:tcW w:w="200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DC34132" w14:textId="3777781E" w:rsidR="00F54EC0" w:rsidRPr="00F54EC0" w:rsidRDefault="00F54EC0" w:rsidP="00562233">
            <w:pPr>
              <w:jc w:val="center"/>
              <w:rPr>
                <w:rFonts w:ascii="Calibri" w:eastAsia="Times New Roman" w:hAnsi="Calibri" w:cs="Times New Roman"/>
                <w:color w:val="77787B"/>
                <w:sz w:val="20"/>
                <w:szCs w:val="20"/>
              </w:rPr>
            </w:pPr>
            <w:r w:rsidRPr="00F54EC0">
              <w:rPr>
                <w:rFonts w:ascii="Calibri" w:eastAsia="Times New Roman" w:hAnsi="Calibri" w:cs="Times New Roman"/>
                <w:color w:val="77787B"/>
                <w:sz w:val="20"/>
                <w:szCs w:val="20"/>
              </w:rPr>
              <w:t> </w:t>
            </w:r>
            <w:r w:rsidR="009726F5">
              <w:rPr>
                <w:rFonts w:ascii="Calibri" w:eastAsia="Times New Roman" w:hAnsi="Calibri" w:cs="Times New Roman"/>
                <w:color w:val="77787B"/>
                <w:sz w:val="20"/>
                <w:szCs w:val="20"/>
              </w:rPr>
              <w:t>High</w:t>
            </w:r>
          </w:p>
        </w:tc>
        <w:tc>
          <w:tcPr>
            <w:tcW w:w="6205" w:type="dxa"/>
            <w:gridSpan w:val="16"/>
            <w:tcBorders>
              <w:top w:val="single" w:sz="4" w:space="0" w:color="auto"/>
              <w:left w:val="nil"/>
              <w:bottom w:val="single" w:sz="4" w:space="0" w:color="auto"/>
              <w:right w:val="single" w:sz="4" w:space="0" w:color="auto"/>
            </w:tcBorders>
            <w:shd w:val="clear" w:color="000000" w:fill="FFFFFF"/>
            <w:vAlign w:val="center"/>
            <w:hideMark/>
          </w:tcPr>
          <w:p w14:paraId="56A8F9CC" w14:textId="547FBD04" w:rsidR="00F54EC0" w:rsidRPr="00F54EC0" w:rsidRDefault="00F54EC0" w:rsidP="00562233">
            <w:pPr>
              <w:rPr>
                <w:rFonts w:ascii="Calibri" w:eastAsia="Times New Roman" w:hAnsi="Calibri" w:cs="Times New Roman"/>
                <w:color w:val="77787B"/>
                <w:sz w:val="20"/>
                <w:szCs w:val="20"/>
              </w:rPr>
            </w:pPr>
            <w:r w:rsidRPr="00F54EC0">
              <w:rPr>
                <w:rFonts w:ascii="Calibri" w:eastAsia="Times New Roman" w:hAnsi="Calibri" w:cs="Times New Roman"/>
                <w:color w:val="77787B"/>
                <w:sz w:val="20"/>
                <w:szCs w:val="20"/>
              </w:rPr>
              <w:t> </w:t>
            </w:r>
            <w:r w:rsidR="0061426D">
              <w:rPr>
                <w:rFonts w:ascii="Calibri" w:eastAsia="Times New Roman" w:hAnsi="Calibri" w:cs="Times New Roman"/>
                <w:color w:val="77787B"/>
                <w:sz w:val="20"/>
                <w:szCs w:val="20"/>
              </w:rPr>
              <w:t>Maintaining the initial enthusiasm for a project and sustaining it is always the most difficult.  Robust reminder systems will be in place and participant currency with data entry will be regularly audited.</w:t>
            </w:r>
          </w:p>
        </w:tc>
      </w:tr>
      <w:tr w:rsidR="00F54EC0" w:rsidRPr="00F54EC0" w14:paraId="0CF23CF2" w14:textId="77777777" w:rsidTr="00C247FE">
        <w:trPr>
          <w:gridAfter w:val="1"/>
          <w:wAfter w:w="87" w:type="dxa"/>
          <w:trHeight w:val="431"/>
        </w:trPr>
        <w:tc>
          <w:tcPr>
            <w:tcW w:w="2688" w:type="dxa"/>
            <w:tcBorders>
              <w:top w:val="single" w:sz="4" w:space="0" w:color="auto"/>
              <w:left w:val="single" w:sz="4" w:space="0" w:color="auto"/>
              <w:bottom w:val="single" w:sz="4" w:space="0" w:color="auto"/>
              <w:right w:val="single" w:sz="4" w:space="0" w:color="auto"/>
            </w:tcBorders>
            <w:shd w:val="clear" w:color="000000" w:fill="FFFFFF"/>
          </w:tcPr>
          <w:p w14:paraId="7FB820A8" w14:textId="0CA837A7" w:rsidR="00F54EC0" w:rsidRPr="00F54EC0" w:rsidRDefault="00F54EC0" w:rsidP="00562233">
            <w:pPr>
              <w:rPr>
                <w:rFonts w:eastAsia="Times New Roman" w:cstheme="minorHAnsi"/>
                <w:color w:val="77787B"/>
                <w:sz w:val="20"/>
                <w:szCs w:val="20"/>
              </w:rPr>
            </w:pPr>
          </w:p>
        </w:tc>
        <w:tc>
          <w:tcPr>
            <w:tcW w:w="2007" w:type="dxa"/>
            <w:gridSpan w:val="7"/>
            <w:tcBorders>
              <w:top w:val="single" w:sz="4" w:space="0" w:color="auto"/>
              <w:left w:val="nil"/>
              <w:bottom w:val="single" w:sz="4" w:space="0" w:color="auto"/>
              <w:right w:val="single" w:sz="4" w:space="0" w:color="auto"/>
            </w:tcBorders>
            <w:shd w:val="clear" w:color="000000" w:fill="FFFFFF"/>
            <w:noWrap/>
            <w:vAlign w:val="center"/>
          </w:tcPr>
          <w:p w14:paraId="55C9D999" w14:textId="02D3A687" w:rsidR="00F54EC0" w:rsidRPr="00F54EC0" w:rsidRDefault="00F54EC0" w:rsidP="00562233">
            <w:pPr>
              <w:jc w:val="center"/>
              <w:rPr>
                <w:rFonts w:ascii="Calibri" w:eastAsia="Times New Roman" w:hAnsi="Calibri" w:cs="Times New Roman"/>
                <w:color w:val="77787B"/>
                <w:sz w:val="20"/>
                <w:szCs w:val="20"/>
              </w:rPr>
            </w:pPr>
          </w:p>
        </w:tc>
        <w:tc>
          <w:tcPr>
            <w:tcW w:w="6205" w:type="dxa"/>
            <w:gridSpan w:val="16"/>
            <w:tcBorders>
              <w:top w:val="single" w:sz="4" w:space="0" w:color="auto"/>
              <w:left w:val="nil"/>
              <w:bottom w:val="single" w:sz="4" w:space="0" w:color="auto"/>
              <w:right w:val="single" w:sz="4" w:space="0" w:color="auto"/>
            </w:tcBorders>
            <w:shd w:val="clear" w:color="000000" w:fill="FFFFFF"/>
            <w:vAlign w:val="center"/>
          </w:tcPr>
          <w:p w14:paraId="3BAD9321" w14:textId="1DF95F8F" w:rsidR="00F54EC0" w:rsidRPr="00F54EC0" w:rsidRDefault="00F54EC0" w:rsidP="00562233">
            <w:pPr>
              <w:rPr>
                <w:rFonts w:ascii="Calibri" w:eastAsia="Times New Roman" w:hAnsi="Calibri" w:cs="Times New Roman"/>
                <w:color w:val="77787B"/>
                <w:sz w:val="20"/>
                <w:szCs w:val="20"/>
              </w:rPr>
            </w:pPr>
          </w:p>
        </w:tc>
      </w:tr>
      <w:tr w:rsidR="002C5824" w:rsidRPr="002C5824" w14:paraId="4E89285B" w14:textId="77777777" w:rsidTr="001F7072">
        <w:tblPrEx>
          <w:tblCellMar>
            <w:left w:w="108" w:type="dxa"/>
            <w:right w:w="108" w:type="dxa"/>
          </w:tblCellMar>
        </w:tblPrEx>
        <w:trPr>
          <w:trHeight w:val="300"/>
        </w:trPr>
        <w:tc>
          <w:tcPr>
            <w:tcW w:w="3752" w:type="dxa"/>
            <w:gridSpan w:val="4"/>
            <w:tcBorders>
              <w:top w:val="single" w:sz="4" w:space="0" w:color="auto"/>
              <w:left w:val="single" w:sz="4" w:space="0" w:color="auto"/>
              <w:bottom w:val="single" w:sz="4" w:space="0" w:color="auto"/>
              <w:right w:val="nil"/>
            </w:tcBorders>
            <w:shd w:val="clear" w:color="auto" w:fill="D9EFED"/>
            <w:noWrap/>
            <w:vAlign w:val="bottom"/>
            <w:hideMark/>
          </w:tcPr>
          <w:p w14:paraId="30D92D0F" w14:textId="77777777" w:rsidR="00C247FE" w:rsidRPr="002C5824" w:rsidRDefault="00C247FE" w:rsidP="00562233">
            <w:pPr>
              <w:rPr>
                <w:rFonts w:ascii="Calibri" w:eastAsia="Times New Roman" w:hAnsi="Calibri" w:cs="Times New Roman"/>
                <w:b/>
                <w:bCs/>
                <w:color w:val="77787B"/>
              </w:rPr>
            </w:pPr>
            <w:r w:rsidRPr="002C5824">
              <w:rPr>
                <w:rFonts w:ascii="Calibri" w:eastAsia="Times New Roman" w:hAnsi="Calibri" w:cs="Times New Roman"/>
                <w:b/>
                <w:bCs/>
                <w:color w:val="77787B"/>
              </w:rPr>
              <w:t>F. Roles and Responsibilities</w:t>
            </w:r>
          </w:p>
        </w:tc>
        <w:tc>
          <w:tcPr>
            <w:tcW w:w="973" w:type="dxa"/>
            <w:gridSpan w:val="5"/>
            <w:tcBorders>
              <w:top w:val="single" w:sz="4" w:space="0" w:color="auto"/>
              <w:left w:val="nil"/>
              <w:bottom w:val="single" w:sz="4" w:space="0" w:color="auto"/>
              <w:right w:val="nil"/>
            </w:tcBorders>
            <w:shd w:val="clear" w:color="auto" w:fill="D9EFED"/>
            <w:noWrap/>
            <w:vAlign w:val="bottom"/>
            <w:hideMark/>
          </w:tcPr>
          <w:p w14:paraId="16A25E6F"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c>
          <w:tcPr>
            <w:tcW w:w="1421" w:type="dxa"/>
            <w:gridSpan w:val="4"/>
            <w:tcBorders>
              <w:top w:val="single" w:sz="4" w:space="0" w:color="auto"/>
              <w:left w:val="nil"/>
              <w:bottom w:val="single" w:sz="4" w:space="0" w:color="auto"/>
              <w:right w:val="nil"/>
            </w:tcBorders>
            <w:shd w:val="clear" w:color="auto" w:fill="D9EFED"/>
            <w:noWrap/>
            <w:vAlign w:val="bottom"/>
            <w:hideMark/>
          </w:tcPr>
          <w:p w14:paraId="6E0D94D3"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c>
          <w:tcPr>
            <w:tcW w:w="549" w:type="dxa"/>
            <w:gridSpan w:val="3"/>
            <w:tcBorders>
              <w:top w:val="single" w:sz="4" w:space="0" w:color="auto"/>
              <w:left w:val="nil"/>
              <w:bottom w:val="single" w:sz="4" w:space="0" w:color="auto"/>
              <w:right w:val="nil"/>
            </w:tcBorders>
            <w:shd w:val="clear" w:color="auto" w:fill="D9EFED"/>
            <w:noWrap/>
            <w:vAlign w:val="bottom"/>
            <w:hideMark/>
          </w:tcPr>
          <w:p w14:paraId="1A134DF4"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c>
          <w:tcPr>
            <w:tcW w:w="1641" w:type="dxa"/>
            <w:gridSpan w:val="4"/>
            <w:tcBorders>
              <w:top w:val="single" w:sz="4" w:space="0" w:color="auto"/>
              <w:left w:val="nil"/>
              <w:bottom w:val="single" w:sz="4" w:space="0" w:color="auto"/>
              <w:right w:val="nil"/>
            </w:tcBorders>
            <w:shd w:val="clear" w:color="auto" w:fill="D9EFED"/>
            <w:noWrap/>
            <w:vAlign w:val="bottom"/>
            <w:hideMark/>
          </w:tcPr>
          <w:p w14:paraId="71A2414F"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c>
          <w:tcPr>
            <w:tcW w:w="287" w:type="dxa"/>
            <w:gridSpan w:val="2"/>
            <w:tcBorders>
              <w:top w:val="single" w:sz="4" w:space="0" w:color="auto"/>
              <w:left w:val="nil"/>
              <w:bottom w:val="single" w:sz="4" w:space="0" w:color="auto"/>
              <w:right w:val="nil"/>
            </w:tcBorders>
            <w:shd w:val="clear" w:color="auto" w:fill="D9EFED"/>
            <w:noWrap/>
            <w:vAlign w:val="bottom"/>
            <w:hideMark/>
          </w:tcPr>
          <w:p w14:paraId="78B07253"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c>
          <w:tcPr>
            <w:tcW w:w="2364" w:type="dxa"/>
            <w:gridSpan w:val="3"/>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C247FE" w:rsidRPr="002C5824" w:rsidRDefault="00C247FE" w:rsidP="00562233">
            <w:pPr>
              <w:rPr>
                <w:rFonts w:ascii="Calibri" w:eastAsia="Times New Roman" w:hAnsi="Calibri" w:cs="Times New Roman"/>
                <w:color w:val="77787B"/>
              </w:rPr>
            </w:pPr>
            <w:r w:rsidRPr="002C5824">
              <w:rPr>
                <w:rFonts w:ascii="Calibri" w:eastAsia="Times New Roman" w:hAnsi="Calibri" w:cs="Times New Roman"/>
                <w:color w:val="77787B"/>
              </w:rPr>
              <w:t> </w:t>
            </w:r>
          </w:p>
        </w:tc>
      </w:tr>
      <w:tr w:rsidR="002C5824" w:rsidRPr="002C5824" w14:paraId="29123ED6"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 xml:space="preserve">Sponsor/Champion:  </w:t>
            </w:r>
            <w:r w:rsidRPr="002C5824">
              <w:rPr>
                <w:rFonts w:ascii="Calibri" w:eastAsia="Times New Roman" w:hAnsi="Calibri" w:cs="Times New Roman"/>
                <w:color w:val="77787B"/>
                <w:sz w:val="18"/>
                <w:szCs w:val="18"/>
              </w:rPr>
              <w:t>Provides overall direction on the project.</w:t>
            </w:r>
          </w:p>
        </w:tc>
      </w:tr>
      <w:tr w:rsidR="002C5824" w:rsidRPr="002C5824" w14:paraId="2B3AF614"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Title/Role</w:t>
            </w:r>
          </w:p>
        </w:tc>
      </w:tr>
      <w:tr w:rsidR="002C5824" w:rsidRPr="002C5824" w14:paraId="3E738E1C"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59A7430D"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Angie Lorts</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49A79E5F" w14:textId="77777777" w:rsidR="00C247FE" w:rsidRPr="002C5824" w:rsidRDefault="00C247FE" w:rsidP="00562233">
            <w:pPr>
              <w:rPr>
                <w:rFonts w:ascii="Calibri" w:eastAsia="Times New Roman" w:hAnsi="Calibri" w:cs="Times New Roman"/>
                <w:color w:val="77787B"/>
                <w:sz w:val="20"/>
                <w:szCs w:val="20"/>
              </w:rPr>
            </w:pPr>
          </w:p>
        </w:tc>
      </w:tr>
      <w:tr w:rsidR="002C5824" w:rsidRPr="002C5824" w14:paraId="0B693991"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1F9BB7" w14:textId="00C426CA" w:rsidR="00C247FE" w:rsidRPr="002C5824" w:rsidRDefault="003D5280"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 xml:space="preserve">David Rosenthal </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41A5A9A0" w14:textId="77777777" w:rsidR="00C247FE" w:rsidRPr="002C5824" w:rsidRDefault="00C247FE" w:rsidP="00562233">
            <w:pPr>
              <w:rPr>
                <w:rFonts w:ascii="Calibri" w:eastAsia="Times New Roman" w:hAnsi="Calibri" w:cs="Times New Roman"/>
                <w:color w:val="77787B"/>
                <w:sz w:val="20"/>
                <w:szCs w:val="20"/>
              </w:rPr>
            </w:pPr>
          </w:p>
        </w:tc>
      </w:tr>
      <w:tr w:rsidR="003D5280" w:rsidRPr="002C5824" w14:paraId="4D3FD362"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92441F" w14:textId="3CCB5870" w:rsidR="003D5280" w:rsidRPr="002C5824" w:rsidRDefault="003D5280" w:rsidP="00562233">
            <w:pPr>
              <w:rPr>
                <w:rFonts w:ascii="Calibri" w:eastAsia="Times New Roman" w:hAnsi="Calibri" w:cs="Times New Roman"/>
                <w:color w:val="77787B"/>
                <w:sz w:val="20"/>
                <w:szCs w:val="20"/>
              </w:rPr>
            </w:pPr>
          </w:p>
        </w:tc>
        <w:tc>
          <w:tcPr>
            <w:tcW w:w="5425" w:type="dxa"/>
            <w:gridSpan w:val="14"/>
            <w:tcBorders>
              <w:top w:val="single" w:sz="4" w:space="0" w:color="auto"/>
              <w:left w:val="nil"/>
              <w:bottom w:val="single" w:sz="4" w:space="0" w:color="auto"/>
              <w:right w:val="single" w:sz="4" w:space="0" w:color="auto"/>
            </w:tcBorders>
            <w:shd w:val="clear" w:color="auto" w:fill="auto"/>
            <w:vAlign w:val="center"/>
          </w:tcPr>
          <w:p w14:paraId="7E4C3951" w14:textId="77777777" w:rsidR="003D5280" w:rsidRPr="002C5824" w:rsidRDefault="003D5280" w:rsidP="00562233">
            <w:pPr>
              <w:rPr>
                <w:rFonts w:ascii="Calibri" w:eastAsia="Times New Roman" w:hAnsi="Calibri" w:cs="Times New Roman"/>
                <w:color w:val="77787B"/>
                <w:sz w:val="20"/>
                <w:szCs w:val="20"/>
              </w:rPr>
            </w:pPr>
          </w:p>
        </w:tc>
      </w:tr>
      <w:tr w:rsidR="002C5824" w:rsidRPr="002C5824" w14:paraId="3FFCF0EF"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Team Leader:</w:t>
            </w:r>
            <w:r w:rsidRPr="002C5824">
              <w:rPr>
                <w:rFonts w:ascii="Arial" w:eastAsia="Times New Roman" w:hAnsi="Arial" w:cs="Arial"/>
                <w:color w:val="77787B"/>
                <w:sz w:val="20"/>
                <w:szCs w:val="20"/>
              </w:rPr>
              <w:t xml:space="preserve"> </w:t>
            </w:r>
            <w:r w:rsidRPr="002C5824">
              <w:rPr>
                <w:rFonts w:ascii="Calibri" w:eastAsia="Times New Roman" w:hAnsi="Calibri" w:cs="Times New Roman"/>
                <w:color w:val="77787B"/>
                <w:sz w:val="20"/>
                <w:szCs w:val="20"/>
              </w:rPr>
              <w:t xml:space="preserve"> Leads the team and provides guidance on scope of the project.</w:t>
            </w:r>
          </w:p>
        </w:tc>
      </w:tr>
      <w:tr w:rsidR="002C5824" w:rsidRPr="002C5824" w14:paraId="65AF2CEC"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Title/Role</w:t>
            </w:r>
          </w:p>
        </w:tc>
      </w:tr>
      <w:tr w:rsidR="002C5824" w:rsidRPr="002C5824" w14:paraId="5D0E2E25"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5B499B" w14:textId="2BBE65D3" w:rsidR="00C247FE" w:rsidRPr="002C5824" w:rsidRDefault="00CE2FF9"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Matt</w:t>
            </w:r>
            <w:r w:rsidR="0061426D">
              <w:rPr>
                <w:rFonts w:ascii="Calibri" w:eastAsia="Times New Roman" w:hAnsi="Calibri" w:cs="Times New Roman"/>
                <w:color w:val="77787B"/>
                <w:sz w:val="20"/>
                <w:szCs w:val="20"/>
              </w:rPr>
              <w:t>hew O’Conno</w:t>
            </w:r>
            <w:r>
              <w:rPr>
                <w:rFonts w:ascii="Calibri" w:eastAsia="Times New Roman" w:hAnsi="Calibri" w:cs="Times New Roman"/>
                <w:color w:val="77787B"/>
                <w:sz w:val="20"/>
                <w:szCs w:val="20"/>
              </w:rPr>
              <w:t>r</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25237A0E"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4E057E96"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40D3117" w14:textId="222D6CEA" w:rsidR="00C247FE" w:rsidRPr="002C5824" w:rsidRDefault="0077692D"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Deip Nandi</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0920E533"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5CB5246F"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3D62F03" w14:textId="349DEFF8" w:rsidR="00C247FE" w:rsidRPr="002C5824" w:rsidRDefault="003D5280"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Rob Gajarski</w:t>
            </w:r>
          </w:p>
        </w:tc>
        <w:tc>
          <w:tcPr>
            <w:tcW w:w="5425" w:type="dxa"/>
            <w:gridSpan w:val="14"/>
            <w:tcBorders>
              <w:top w:val="single" w:sz="4" w:space="0" w:color="auto"/>
              <w:left w:val="nil"/>
              <w:bottom w:val="single" w:sz="4" w:space="0" w:color="auto"/>
              <w:right w:val="single" w:sz="4" w:space="0" w:color="auto"/>
            </w:tcBorders>
            <w:shd w:val="clear" w:color="auto" w:fill="auto"/>
            <w:vAlign w:val="center"/>
          </w:tcPr>
          <w:p w14:paraId="0AD65CDC" w14:textId="77777777" w:rsidR="00C247FE" w:rsidRPr="002C5824" w:rsidRDefault="00C247FE" w:rsidP="00562233">
            <w:pPr>
              <w:rPr>
                <w:rFonts w:ascii="Calibri" w:eastAsia="Times New Roman" w:hAnsi="Calibri" w:cs="Times New Roman"/>
                <w:color w:val="77787B"/>
                <w:sz w:val="20"/>
                <w:szCs w:val="20"/>
              </w:rPr>
            </w:pPr>
          </w:p>
        </w:tc>
      </w:tr>
      <w:tr w:rsidR="002C5824" w:rsidRPr="002C5824" w14:paraId="394032F0"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C247FE" w:rsidRPr="002C5824" w:rsidRDefault="00C247FE" w:rsidP="00562233">
            <w:pPr>
              <w:rPr>
                <w:rFonts w:ascii="Calibri" w:eastAsia="Times New Roman" w:hAnsi="Calibri" w:cs="Times New Roman"/>
                <w:b/>
                <w:bCs/>
                <w:color w:val="77787B"/>
                <w:sz w:val="20"/>
                <w:szCs w:val="20"/>
              </w:rPr>
            </w:pPr>
            <w:r w:rsidRPr="002C5824">
              <w:rPr>
                <w:color w:val="77787B"/>
              </w:rPr>
              <w:br w:type="page"/>
            </w:r>
            <w:r w:rsidRPr="002C5824">
              <w:rPr>
                <w:rFonts w:ascii="Calibri" w:eastAsia="Times New Roman" w:hAnsi="Calibri" w:cs="Times New Roman"/>
                <w:b/>
                <w:bCs/>
                <w:color w:val="77787B"/>
                <w:sz w:val="20"/>
                <w:szCs w:val="20"/>
              </w:rPr>
              <w:t>Project Support</w:t>
            </w:r>
            <w:r w:rsidRPr="002C5824">
              <w:rPr>
                <w:color w:val="77787B"/>
              </w:rPr>
              <w:t xml:space="preserve"> (</w:t>
            </w:r>
            <w:r w:rsidRPr="002C5824">
              <w:rPr>
                <w:rFonts w:ascii="Calibri" w:eastAsia="Times New Roman" w:hAnsi="Calibri" w:cs="Times New Roman"/>
                <w:b/>
                <w:bCs/>
                <w:color w:val="77787B"/>
                <w:sz w:val="20"/>
                <w:szCs w:val="20"/>
              </w:rPr>
              <w:t xml:space="preserve">QIC/QOM/Data Analytics/Project Manager Support):  </w:t>
            </w:r>
            <w:r w:rsidRPr="002C5824">
              <w:rPr>
                <w:rFonts w:ascii="Calibri" w:eastAsia="Times New Roman" w:hAnsi="Calibri" w:cs="Times New Roman"/>
                <w:bCs/>
                <w:color w:val="77787B"/>
                <w:sz w:val="18"/>
                <w:szCs w:val="18"/>
              </w:rPr>
              <w:t xml:space="preserve">Leads in the planning &amp; development of the project; manages the project to scope and/or </w:t>
            </w:r>
            <w:r w:rsidRPr="002C5824">
              <w:rPr>
                <w:rFonts w:ascii="Calibri" w:eastAsia="Times New Roman" w:hAnsi="Calibri" w:cs="Times New Roman"/>
                <w:color w:val="77787B"/>
                <w:sz w:val="18"/>
                <w:szCs w:val="18"/>
              </w:rPr>
              <w:t>provides data analysis and reporting expertise for the project.</w:t>
            </w:r>
          </w:p>
        </w:tc>
      </w:tr>
      <w:tr w:rsidR="002C5824" w:rsidRPr="002C5824" w14:paraId="3107003B"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Title/Role</w:t>
            </w:r>
          </w:p>
        </w:tc>
      </w:tr>
      <w:tr w:rsidR="002C5824" w:rsidRPr="002C5824" w14:paraId="0AD33CA9"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Paige Krack</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7242E189" w14:textId="6EB00A3B"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xml:space="preserve">Quality Improvement </w:t>
            </w:r>
            <w:r w:rsidR="00CE2FF9">
              <w:rPr>
                <w:rFonts w:ascii="Calibri" w:eastAsia="Times New Roman" w:hAnsi="Calibri" w:cs="Times New Roman"/>
                <w:color w:val="77787B"/>
                <w:sz w:val="20"/>
                <w:szCs w:val="20"/>
              </w:rPr>
              <w:t>Specialist</w:t>
            </w:r>
          </w:p>
        </w:tc>
      </w:tr>
      <w:tr w:rsidR="002C5824" w:rsidRPr="002C5824" w14:paraId="315455F5"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011F07DD" w:rsidR="00C247FE" w:rsidRPr="002C5824" w:rsidRDefault="00CE2FF9"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 xml:space="preserve">Chloe Connelly </w:t>
            </w:r>
            <w:r w:rsidR="00C247FE" w:rsidRPr="002C5824">
              <w:rPr>
                <w:rFonts w:ascii="Calibri" w:eastAsia="Times New Roman" w:hAnsi="Calibri" w:cs="Times New Roman"/>
                <w:color w:val="77787B"/>
                <w:sz w:val="20"/>
                <w:szCs w:val="20"/>
              </w:rPr>
              <w:t xml:space="preserve"> </w:t>
            </w:r>
          </w:p>
        </w:tc>
        <w:tc>
          <w:tcPr>
            <w:tcW w:w="5425" w:type="dxa"/>
            <w:gridSpan w:val="14"/>
            <w:tcBorders>
              <w:top w:val="single" w:sz="4" w:space="0" w:color="auto"/>
              <w:left w:val="nil"/>
              <w:bottom w:val="single" w:sz="4" w:space="0" w:color="auto"/>
              <w:right w:val="single" w:sz="4" w:space="0" w:color="auto"/>
            </w:tcBorders>
            <w:shd w:val="clear" w:color="auto" w:fill="auto"/>
            <w:vAlign w:val="center"/>
          </w:tcPr>
          <w:p w14:paraId="51E09F83"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Data Analyst</w:t>
            </w:r>
          </w:p>
        </w:tc>
      </w:tr>
      <w:tr w:rsidR="002C5824" w:rsidRPr="002C5824" w14:paraId="45DCC36B"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726B07" w14:textId="3117CD7A" w:rsidR="00C247FE" w:rsidRPr="002C5824" w:rsidRDefault="00A670F4"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Nikita D</w:t>
            </w:r>
            <w:r w:rsidR="002A418B">
              <w:rPr>
                <w:rFonts w:ascii="Calibri" w:eastAsia="Times New Roman" w:hAnsi="Calibri" w:cs="Times New Roman"/>
                <w:color w:val="77787B"/>
                <w:sz w:val="20"/>
                <w:szCs w:val="20"/>
              </w:rPr>
              <w:t>’</w:t>
            </w:r>
            <w:r>
              <w:rPr>
                <w:rFonts w:ascii="Calibri" w:eastAsia="Times New Roman" w:hAnsi="Calibri" w:cs="Times New Roman"/>
                <w:color w:val="77787B"/>
                <w:sz w:val="20"/>
                <w:szCs w:val="20"/>
              </w:rPr>
              <w:t xml:space="preserve">Souza </w:t>
            </w:r>
          </w:p>
        </w:tc>
        <w:tc>
          <w:tcPr>
            <w:tcW w:w="5425" w:type="dxa"/>
            <w:gridSpan w:val="14"/>
            <w:tcBorders>
              <w:top w:val="single" w:sz="4" w:space="0" w:color="auto"/>
              <w:left w:val="nil"/>
              <w:bottom w:val="single" w:sz="4" w:space="0" w:color="auto"/>
              <w:right w:val="single" w:sz="4" w:space="0" w:color="auto"/>
            </w:tcBorders>
            <w:shd w:val="clear" w:color="auto" w:fill="auto"/>
            <w:vAlign w:val="center"/>
          </w:tcPr>
          <w:p w14:paraId="3F80A8E9" w14:textId="5D591018" w:rsidR="00C247FE" w:rsidRPr="002C5824" w:rsidRDefault="00EB7301" w:rsidP="00562233">
            <w:pPr>
              <w:rPr>
                <w:rFonts w:ascii="Calibri" w:eastAsia="Times New Roman" w:hAnsi="Calibri" w:cs="Times New Roman"/>
                <w:color w:val="77787B"/>
                <w:sz w:val="20"/>
                <w:szCs w:val="20"/>
              </w:rPr>
            </w:pPr>
            <w:r>
              <w:rPr>
                <w:rFonts w:ascii="Calibri" w:eastAsia="Times New Roman" w:hAnsi="Calibri" w:cs="Times New Roman"/>
                <w:color w:val="77787B"/>
                <w:sz w:val="20"/>
                <w:szCs w:val="20"/>
              </w:rPr>
              <w:t>Pro</w:t>
            </w:r>
            <w:r w:rsidR="00A670F4">
              <w:rPr>
                <w:rFonts w:ascii="Calibri" w:eastAsia="Times New Roman" w:hAnsi="Calibri" w:cs="Times New Roman"/>
                <w:color w:val="77787B"/>
                <w:sz w:val="20"/>
                <w:szCs w:val="20"/>
              </w:rPr>
              <w:t xml:space="preserve">gram Management Specialist </w:t>
            </w:r>
          </w:p>
        </w:tc>
      </w:tr>
      <w:tr w:rsidR="002C5824" w:rsidRPr="002C5824" w14:paraId="7E60317C"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41B25E" w14:textId="77777777" w:rsidR="00C247FE" w:rsidRPr="002C5824" w:rsidRDefault="00C247FE" w:rsidP="00562233">
            <w:pPr>
              <w:rPr>
                <w:rFonts w:ascii="Calibri" w:eastAsia="Times New Roman" w:hAnsi="Calibri" w:cs="Times New Roman"/>
                <w:color w:val="77787B"/>
                <w:sz w:val="20"/>
                <w:szCs w:val="20"/>
              </w:rPr>
            </w:pPr>
          </w:p>
        </w:tc>
        <w:tc>
          <w:tcPr>
            <w:tcW w:w="5425" w:type="dxa"/>
            <w:gridSpan w:val="14"/>
            <w:tcBorders>
              <w:top w:val="single" w:sz="4" w:space="0" w:color="auto"/>
              <w:left w:val="nil"/>
              <w:bottom w:val="single" w:sz="4" w:space="0" w:color="auto"/>
              <w:right w:val="single" w:sz="4" w:space="0" w:color="auto"/>
            </w:tcBorders>
            <w:shd w:val="clear" w:color="auto" w:fill="auto"/>
            <w:vAlign w:val="center"/>
          </w:tcPr>
          <w:p w14:paraId="10649977" w14:textId="77777777" w:rsidR="00C247FE" w:rsidRPr="002C5824" w:rsidRDefault="00C247FE" w:rsidP="00562233">
            <w:pPr>
              <w:rPr>
                <w:rFonts w:ascii="Calibri" w:eastAsia="Times New Roman" w:hAnsi="Calibri" w:cs="Times New Roman"/>
                <w:color w:val="77787B"/>
                <w:sz w:val="20"/>
                <w:szCs w:val="20"/>
              </w:rPr>
            </w:pPr>
          </w:p>
        </w:tc>
      </w:tr>
      <w:tr w:rsidR="002C5824" w:rsidRPr="002C5824" w14:paraId="70E2B445"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C247FE" w:rsidRPr="002C5824" w:rsidRDefault="00C247FE" w:rsidP="00562233">
            <w:pPr>
              <w:rPr>
                <w:rFonts w:ascii="Calibri" w:eastAsia="Times New Roman" w:hAnsi="Calibri" w:cs="Times New Roman"/>
                <w:b/>
                <w:bCs/>
                <w:color w:val="77787B"/>
                <w:sz w:val="20"/>
                <w:szCs w:val="20"/>
              </w:rPr>
            </w:pPr>
            <w:r w:rsidRPr="002C5824">
              <w:rPr>
                <w:color w:val="77787B"/>
              </w:rPr>
              <w:br w:type="page"/>
            </w:r>
            <w:r w:rsidRPr="002C5824">
              <w:rPr>
                <w:rFonts w:ascii="Calibri" w:eastAsia="Times New Roman" w:hAnsi="Calibri" w:cs="Times New Roman"/>
                <w:b/>
                <w:bCs/>
                <w:color w:val="77787B"/>
                <w:sz w:val="20"/>
                <w:szCs w:val="20"/>
              </w:rPr>
              <w:t>Team Members:</w:t>
            </w:r>
            <w:r w:rsidRPr="002C5824">
              <w:rPr>
                <w:rFonts w:ascii="Arial" w:eastAsia="Times New Roman" w:hAnsi="Arial" w:cs="Arial"/>
                <w:color w:val="77787B"/>
                <w:sz w:val="20"/>
                <w:szCs w:val="20"/>
              </w:rPr>
              <w:t xml:space="preserve">  </w:t>
            </w:r>
            <w:r w:rsidRPr="002C5824">
              <w:rPr>
                <w:rFonts w:ascii="Calibri" w:eastAsia="Times New Roman" w:hAnsi="Calibri" w:cs="Times New Roman"/>
                <w:color w:val="77787B"/>
                <w:sz w:val="18"/>
                <w:szCs w:val="18"/>
              </w:rPr>
              <w:t>Works toward the deliverables of the project.</w:t>
            </w:r>
          </w:p>
        </w:tc>
      </w:tr>
      <w:tr w:rsidR="002C5824" w:rsidRPr="002C5824" w14:paraId="4841C105"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Title/Role</w:t>
            </w:r>
          </w:p>
        </w:tc>
      </w:tr>
      <w:tr w:rsidR="002C5824" w:rsidRPr="002C5824" w14:paraId="63B354EE"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D96AA38"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380CF22C"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4BE70C24"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CE0B38"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08915E9B"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1CF5E9B6"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hideMark/>
          </w:tcPr>
          <w:p w14:paraId="712469A6"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Family/Patient Representative:</w:t>
            </w:r>
          </w:p>
        </w:tc>
      </w:tr>
      <w:tr w:rsidR="002C5824" w:rsidRPr="002C5824" w14:paraId="75D6ABE9"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13ADE1"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0B026483"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Title/Role</w:t>
            </w:r>
          </w:p>
        </w:tc>
      </w:tr>
      <w:tr w:rsidR="002C5824" w:rsidRPr="002C5824" w14:paraId="79CAB8A2"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8DFDEF"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2D539011"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3E13C0B9"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1A2499"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5425" w:type="dxa"/>
            <w:gridSpan w:val="14"/>
            <w:tcBorders>
              <w:top w:val="single" w:sz="4" w:space="0" w:color="auto"/>
              <w:left w:val="nil"/>
              <w:bottom w:val="single" w:sz="4" w:space="0" w:color="auto"/>
              <w:right w:val="single" w:sz="4" w:space="0" w:color="auto"/>
            </w:tcBorders>
            <w:shd w:val="clear" w:color="auto" w:fill="auto"/>
            <w:vAlign w:val="center"/>
            <w:hideMark/>
          </w:tcPr>
          <w:p w14:paraId="12FAE444" w14:textId="77777777" w:rsidR="00C247FE" w:rsidRPr="002C5824" w:rsidRDefault="00C247FE" w:rsidP="00562233">
            <w:pPr>
              <w:rPr>
                <w:rFonts w:ascii="Calibri" w:eastAsia="Times New Roman" w:hAnsi="Calibri" w:cs="Times New Roman"/>
                <w:color w:val="77787B"/>
                <w:sz w:val="20"/>
                <w:szCs w:val="20"/>
              </w:rPr>
            </w:pPr>
          </w:p>
        </w:tc>
      </w:tr>
      <w:tr w:rsidR="002C5824" w:rsidRPr="002C5824" w14:paraId="0DF74688"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auto"/>
            </w:tcBorders>
            <w:shd w:val="clear" w:color="auto" w:fill="D9EFED"/>
            <w:vAlign w:val="center"/>
          </w:tcPr>
          <w:p w14:paraId="16D53FA4" w14:textId="77777777" w:rsidR="00C247FE" w:rsidRPr="002C5824" w:rsidRDefault="00C247FE" w:rsidP="00562233">
            <w:pPr>
              <w:rPr>
                <w:rFonts w:ascii="Calibri" w:eastAsia="Times New Roman" w:hAnsi="Calibri" w:cs="Times New Roman"/>
                <w:color w:val="77787B"/>
                <w:sz w:val="18"/>
                <w:szCs w:val="18"/>
              </w:rPr>
            </w:pPr>
            <w:r w:rsidRPr="002C5824">
              <w:rPr>
                <w:rFonts w:ascii="Calibri" w:eastAsia="Times New Roman" w:hAnsi="Calibri" w:cs="Times New Roman"/>
                <w:b/>
                <w:bCs/>
                <w:color w:val="77787B"/>
              </w:rPr>
              <w:t>H.  Signatures</w:t>
            </w:r>
          </w:p>
        </w:tc>
      </w:tr>
      <w:tr w:rsidR="002C5824" w:rsidRPr="002C5824" w14:paraId="1DE81652"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tcPr>
          <w:p w14:paraId="62597B9D" w14:textId="77777777" w:rsidR="00C247FE" w:rsidRPr="002C5824" w:rsidRDefault="00C247FE" w:rsidP="00562233">
            <w:pPr>
              <w:rPr>
                <w:rFonts w:ascii="Calibri" w:eastAsia="Times New Roman" w:hAnsi="Calibri" w:cs="Times New Roman"/>
                <w:b/>
                <w:bCs/>
                <w:color w:val="77787B"/>
              </w:rPr>
            </w:pPr>
            <w:r w:rsidRPr="002C5824">
              <w:rPr>
                <w:rFonts w:ascii="Calibri" w:eastAsia="Times New Roman" w:hAnsi="Calibri" w:cs="Times New Roman"/>
                <w:b/>
                <w:bCs/>
                <w:color w:val="77787B"/>
                <w:sz w:val="20"/>
                <w:szCs w:val="20"/>
              </w:rPr>
              <w:t>Sponsor/Champion:</w:t>
            </w:r>
          </w:p>
        </w:tc>
      </w:tr>
      <w:tr w:rsidR="002C5824" w:rsidRPr="002C5824" w14:paraId="0F379E2E"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BAD0AEC"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2774" w:type="dxa"/>
            <w:gridSpan w:val="9"/>
            <w:tcBorders>
              <w:top w:val="single" w:sz="4" w:space="0" w:color="auto"/>
              <w:left w:val="nil"/>
              <w:bottom w:val="single" w:sz="4" w:space="0" w:color="auto"/>
              <w:right w:val="single" w:sz="4" w:space="0" w:color="000000"/>
            </w:tcBorders>
            <w:shd w:val="clear" w:color="auto" w:fill="auto"/>
            <w:vAlign w:val="center"/>
            <w:hideMark/>
          </w:tcPr>
          <w:p w14:paraId="6888F658"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Signature</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95F7C7C"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Date</w:t>
            </w:r>
          </w:p>
        </w:tc>
      </w:tr>
      <w:tr w:rsidR="002C5824" w:rsidRPr="002C5824" w14:paraId="26DD35D2"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63BC0B39"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000000"/>
            </w:tcBorders>
            <w:shd w:val="clear" w:color="auto" w:fill="auto"/>
            <w:vAlign w:val="center"/>
            <w:hideMark/>
          </w:tcPr>
          <w:p w14:paraId="4007729B"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8C48989"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5F0D0071"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6863E"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auto"/>
            </w:tcBorders>
            <w:shd w:val="clear" w:color="auto" w:fill="auto"/>
            <w:vAlign w:val="center"/>
            <w:hideMark/>
          </w:tcPr>
          <w:p w14:paraId="6B38C0E7"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B4D4996"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39A666E9"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D6E01F"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auto"/>
            </w:tcBorders>
            <w:shd w:val="clear" w:color="auto" w:fill="auto"/>
            <w:vAlign w:val="center"/>
            <w:hideMark/>
          </w:tcPr>
          <w:p w14:paraId="1E60BC69"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028D600"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4A887377" w14:textId="77777777" w:rsidTr="001F7072">
        <w:tblPrEx>
          <w:tblCellMar>
            <w:left w:w="108" w:type="dxa"/>
            <w:right w:w="108" w:type="dxa"/>
          </w:tblCellMar>
        </w:tblPrEx>
        <w:trPr>
          <w:trHeight w:val="300"/>
        </w:trPr>
        <w:tc>
          <w:tcPr>
            <w:tcW w:w="10987" w:type="dxa"/>
            <w:gridSpan w:val="25"/>
            <w:tcBorders>
              <w:top w:val="single" w:sz="4" w:space="0" w:color="auto"/>
              <w:left w:val="single" w:sz="4" w:space="0" w:color="auto"/>
              <w:bottom w:val="single" w:sz="4" w:space="0" w:color="auto"/>
              <w:right w:val="single" w:sz="4" w:space="0" w:color="000000"/>
            </w:tcBorders>
            <w:shd w:val="clear" w:color="auto" w:fill="FCFBEA"/>
            <w:vAlign w:val="center"/>
          </w:tcPr>
          <w:p w14:paraId="3FC6D93B" w14:textId="77777777" w:rsidR="00C247FE" w:rsidRPr="002C5824" w:rsidRDefault="00C247FE" w:rsidP="00562233">
            <w:pPr>
              <w:rPr>
                <w:rFonts w:ascii="Calibri" w:eastAsia="Times New Roman" w:hAnsi="Calibri" w:cs="Times New Roman"/>
                <w:b/>
                <w:bCs/>
                <w:color w:val="77787B"/>
              </w:rPr>
            </w:pPr>
            <w:r w:rsidRPr="002C5824">
              <w:rPr>
                <w:rFonts w:ascii="Calibri" w:eastAsia="Times New Roman" w:hAnsi="Calibri" w:cs="Times New Roman"/>
                <w:b/>
                <w:bCs/>
                <w:color w:val="77787B"/>
                <w:sz w:val="20"/>
                <w:szCs w:val="20"/>
              </w:rPr>
              <w:t>Team Leader</w:t>
            </w:r>
            <w:r w:rsidRPr="002C5824">
              <w:rPr>
                <w:rFonts w:ascii="Calibri" w:eastAsia="Times New Roman" w:hAnsi="Calibri" w:cs="Times New Roman"/>
                <w:b/>
                <w:bCs/>
                <w:color w:val="77787B"/>
              </w:rPr>
              <w:t>:</w:t>
            </w:r>
          </w:p>
        </w:tc>
      </w:tr>
      <w:tr w:rsidR="002C5824" w:rsidRPr="002C5824" w14:paraId="63E2ADF8"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FC27D8F"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Name</w:t>
            </w:r>
          </w:p>
        </w:tc>
        <w:tc>
          <w:tcPr>
            <w:tcW w:w="2774" w:type="dxa"/>
            <w:gridSpan w:val="9"/>
            <w:tcBorders>
              <w:top w:val="single" w:sz="4" w:space="0" w:color="auto"/>
              <w:left w:val="nil"/>
              <w:bottom w:val="single" w:sz="4" w:space="0" w:color="auto"/>
              <w:right w:val="single" w:sz="4" w:space="0" w:color="000000"/>
            </w:tcBorders>
            <w:shd w:val="clear" w:color="auto" w:fill="auto"/>
            <w:vAlign w:val="center"/>
            <w:hideMark/>
          </w:tcPr>
          <w:p w14:paraId="1357D548"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Signature</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2B9DE839" w14:textId="77777777" w:rsidR="00C247FE" w:rsidRPr="002C5824" w:rsidRDefault="00C247FE" w:rsidP="00562233">
            <w:pPr>
              <w:rPr>
                <w:rFonts w:ascii="Calibri" w:eastAsia="Times New Roman" w:hAnsi="Calibri" w:cs="Times New Roman"/>
                <w:b/>
                <w:bCs/>
                <w:color w:val="77787B"/>
                <w:sz w:val="20"/>
                <w:szCs w:val="20"/>
              </w:rPr>
            </w:pPr>
            <w:r w:rsidRPr="002C5824">
              <w:rPr>
                <w:rFonts w:ascii="Calibri" w:eastAsia="Times New Roman" w:hAnsi="Calibri" w:cs="Times New Roman"/>
                <w:b/>
                <w:bCs/>
                <w:color w:val="77787B"/>
                <w:sz w:val="20"/>
                <w:szCs w:val="20"/>
              </w:rPr>
              <w:t>Date</w:t>
            </w:r>
          </w:p>
        </w:tc>
      </w:tr>
      <w:tr w:rsidR="002C5824" w:rsidRPr="002C5824" w14:paraId="553F7D01"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A38E614"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000000"/>
            </w:tcBorders>
            <w:shd w:val="clear" w:color="auto" w:fill="auto"/>
            <w:vAlign w:val="center"/>
            <w:hideMark/>
          </w:tcPr>
          <w:p w14:paraId="43DF3EB8"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6675EE2F"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40C076B5"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AB79D5"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auto"/>
            </w:tcBorders>
            <w:shd w:val="clear" w:color="auto" w:fill="auto"/>
            <w:vAlign w:val="center"/>
            <w:hideMark/>
          </w:tcPr>
          <w:p w14:paraId="706DE4D9"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2F15E6E"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r w:rsidR="002C5824" w:rsidRPr="002C5824" w14:paraId="44AFA6F8" w14:textId="77777777" w:rsidTr="00C247FE">
        <w:tblPrEx>
          <w:tblCellMar>
            <w:left w:w="108" w:type="dxa"/>
            <w:right w:w="108" w:type="dxa"/>
          </w:tblCellMar>
        </w:tblPrEx>
        <w:trPr>
          <w:trHeight w:val="300"/>
        </w:trPr>
        <w:tc>
          <w:tcPr>
            <w:tcW w:w="55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296C1F1" w14:textId="77777777" w:rsidR="00C247FE" w:rsidRPr="002C5824" w:rsidRDefault="00C247FE" w:rsidP="00562233">
            <w:pPr>
              <w:rPr>
                <w:rFonts w:ascii="Calibri" w:eastAsia="Times New Roman" w:hAnsi="Calibri" w:cs="Times New Roman"/>
                <w:color w:val="77787B"/>
                <w:sz w:val="20"/>
                <w:szCs w:val="20"/>
              </w:rPr>
            </w:pPr>
          </w:p>
        </w:tc>
        <w:tc>
          <w:tcPr>
            <w:tcW w:w="2774" w:type="dxa"/>
            <w:gridSpan w:val="9"/>
            <w:tcBorders>
              <w:top w:val="single" w:sz="4" w:space="0" w:color="auto"/>
              <w:left w:val="nil"/>
              <w:bottom w:val="single" w:sz="4" w:space="0" w:color="auto"/>
              <w:right w:val="single" w:sz="4" w:space="0" w:color="auto"/>
            </w:tcBorders>
            <w:shd w:val="clear" w:color="auto" w:fill="auto"/>
            <w:vAlign w:val="center"/>
            <w:hideMark/>
          </w:tcPr>
          <w:p w14:paraId="5C9AF944"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05980D1" w14:textId="77777777" w:rsidR="00C247FE" w:rsidRPr="002C5824" w:rsidRDefault="00C247FE" w:rsidP="00562233">
            <w:pPr>
              <w:rPr>
                <w:rFonts w:ascii="Calibri" w:eastAsia="Times New Roman" w:hAnsi="Calibri" w:cs="Times New Roman"/>
                <w:color w:val="77787B"/>
                <w:sz w:val="20"/>
                <w:szCs w:val="20"/>
              </w:rPr>
            </w:pPr>
            <w:r w:rsidRPr="002C5824">
              <w:rPr>
                <w:rFonts w:ascii="Calibri" w:eastAsia="Times New Roman" w:hAnsi="Calibri" w:cs="Times New Roman"/>
                <w:color w:val="77787B"/>
                <w:sz w:val="20"/>
                <w:szCs w:val="20"/>
              </w:rPr>
              <w:t> </w:t>
            </w:r>
          </w:p>
        </w:tc>
      </w:tr>
    </w:tbl>
    <w:p w14:paraId="589F785D" w14:textId="77777777" w:rsidR="006631EA" w:rsidRPr="002C5824" w:rsidRDefault="006631EA" w:rsidP="006631EA">
      <w:pPr>
        <w:rPr>
          <w:rFonts w:ascii="Arial" w:eastAsia="Times New Roman" w:hAnsi="Arial" w:cs="Arial"/>
          <w:color w:val="77787B"/>
        </w:rPr>
      </w:pPr>
    </w:p>
    <w:sectPr w:rsidR="006631EA" w:rsidRPr="002C5824" w:rsidSect="00BE0470">
      <w:headerReference w:type="default" r:id="rId12"/>
      <w:footerReference w:type="default" r:id="rId13"/>
      <w:pgSz w:w="12240" w:h="15840"/>
      <w:pgMar w:top="288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rack, Paige" w:date="2021-11-11T12:07:00Z" w:initials="KP">
    <w:p w14:paraId="4AEAB497" w14:textId="3A25C629" w:rsidR="00D56901" w:rsidRDefault="00D56901">
      <w:pPr>
        <w:pStyle w:val="CommentText"/>
      </w:pPr>
      <w:r>
        <w:rPr>
          <w:rStyle w:val="CommentReference"/>
        </w:rPr>
        <w:annotationRef/>
      </w:r>
      <w:r>
        <w:t>Changed from 6/30/22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AB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69E8" w16cex:dateUtc="2021-11-11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AB497" w16cid:durableId="25376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06E5" w14:textId="77777777" w:rsidR="00710595" w:rsidRDefault="00710595" w:rsidP="001F67B8">
      <w:r>
        <w:separator/>
      </w:r>
    </w:p>
  </w:endnote>
  <w:endnote w:type="continuationSeparator" w:id="0">
    <w:p w14:paraId="20297355" w14:textId="77777777" w:rsidR="00710595" w:rsidRDefault="00710595"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4319" w14:textId="65F96E26" w:rsidR="002947C8" w:rsidRPr="001D3595" w:rsidRDefault="006631EA">
    <w:pPr>
      <w:pStyle w:val="Footer"/>
      <w:rPr>
        <w:color w:val="77787B"/>
        <w:sz w:val="20"/>
        <w:szCs w:val="20"/>
      </w:rPr>
    </w:pPr>
    <w:r w:rsidRPr="001D3595">
      <w:rPr>
        <w:color w:val="77787B"/>
        <w:sz w:val="20"/>
        <w:szCs w:val="20"/>
      </w:rPr>
      <w:t xml:space="preserve">Revised </w:t>
    </w:r>
    <w:r w:rsidR="00A670F4">
      <w:rPr>
        <w:color w:val="77787B"/>
        <w:sz w:val="20"/>
        <w:szCs w:val="20"/>
      </w:rPr>
      <w:t>8/13/21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C5B1" w14:textId="77777777" w:rsidR="00710595" w:rsidRDefault="00710595" w:rsidP="001F67B8">
      <w:r>
        <w:separator/>
      </w:r>
    </w:p>
  </w:footnote>
  <w:footnote w:type="continuationSeparator" w:id="0">
    <w:p w14:paraId="424BE2F5" w14:textId="77777777" w:rsidR="00710595" w:rsidRDefault="00710595"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FC7C" w14:textId="1CDF1CB5" w:rsidR="002947C8" w:rsidRDefault="001012E8">
    <w:pPr>
      <w:pStyle w:val="Header"/>
    </w:pPr>
    <w:r>
      <w:rPr>
        <w:noProof/>
      </w:rPr>
      <mc:AlternateContent>
        <mc:Choice Requires="wps">
          <w:drawing>
            <wp:anchor distT="45720" distB="45720" distL="114300" distR="114300" simplePos="0" relativeHeight="251657728" behindDoc="0" locked="0" layoutInCell="1" allowOverlap="1" wp14:anchorId="09BA6A9B" wp14:editId="20AB5308">
              <wp:simplePos x="0" y="0"/>
              <wp:positionH relativeFrom="column">
                <wp:posOffset>133350</wp:posOffset>
              </wp:positionH>
              <wp:positionV relativeFrom="paragraph">
                <wp:posOffset>104775</wp:posOffset>
              </wp:positionV>
              <wp:extent cx="42767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09270"/>
                      </a:xfrm>
                      <a:prstGeom prst="rect">
                        <a:avLst/>
                      </a:prstGeom>
                      <a:solidFill>
                        <a:srgbClr val="FFFFFF"/>
                      </a:solidFill>
                      <a:ln w="9525">
                        <a:noFill/>
                        <a:miter lim="800000"/>
                        <a:headEnd/>
                        <a:tailEnd/>
                      </a:ln>
                    </wps:spPr>
                    <wps:txbx>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8.25pt;width:336.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" stroked="f">
              <v:textbox style="mso-fit-shape-to-text:t">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28175359">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F34FE"/>
    <w:multiLevelType w:val="hybridMultilevel"/>
    <w:tmpl w:val="7DA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517F32"/>
    <w:multiLevelType w:val="hybridMultilevel"/>
    <w:tmpl w:val="C90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5"/>
  </w:num>
  <w:num w:numId="4">
    <w:abstractNumId w:val="9"/>
  </w:num>
  <w:num w:numId="5">
    <w:abstractNumId w:val="24"/>
  </w:num>
  <w:num w:numId="6">
    <w:abstractNumId w:val="8"/>
  </w:num>
  <w:num w:numId="7">
    <w:abstractNumId w:val="32"/>
  </w:num>
  <w:num w:numId="8">
    <w:abstractNumId w:val="29"/>
  </w:num>
  <w:num w:numId="9">
    <w:abstractNumId w:val="23"/>
  </w:num>
  <w:num w:numId="10">
    <w:abstractNumId w:val="17"/>
  </w:num>
  <w:num w:numId="11">
    <w:abstractNumId w:val="26"/>
  </w:num>
  <w:num w:numId="12">
    <w:abstractNumId w:val="34"/>
  </w:num>
  <w:num w:numId="13">
    <w:abstractNumId w:val="20"/>
  </w:num>
  <w:num w:numId="14">
    <w:abstractNumId w:val="14"/>
  </w:num>
  <w:num w:numId="15">
    <w:abstractNumId w:val="2"/>
  </w:num>
  <w:num w:numId="16">
    <w:abstractNumId w:val="16"/>
  </w:num>
  <w:num w:numId="17">
    <w:abstractNumId w:val="31"/>
  </w:num>
  <w:num w:numId="18">
    <w:abstractNumId w:val="0"/>
  </w:num>
  <w:num w:numId="19">
    <w:abstractNumId w:val="13"/>
  </w:num>
  <w:num w:numId="20">
    <w:abstractNumId w:val="1"/>
  </w:num>
  <w:num w:numId="21">
    <w:abstractNumId w:val="4"/>
  </w:num>
  <w:num w:numId="22">
    <w:abstractNumId w:val="18"/>
  </w:num>
  <w:num w:numId="23">
    <w:abstractNumId w:val="10"/>
  </w:num>
  <w:num w:numId="24">
    <w:abstractNumId w:val="6"/>
  </w:num>
  <w:num w:numId="25">
    <w:abstractNumId w:val="25"/>
  </w:num>
  <w:num w:numId="26">
    <w:abstractNumId w:val="3"/>
  </w:num>
  <w:num w:numId="27">
    <w:abstractNumId w:val="28"/>
  </w:num>
  <w:num w:numId="28">
    <w:abstractNumId w:val="19"/>
  </w:num>
  <w:num w:numId="29">
    <w:abstractNumId w:val="7"/>
  </w:num>
  <w:num w:numId="30">
    <w:abstractNumId w:val="33"/>
  </w:num>
  <w:num w:numId="31">
    <w:abstractNumId w:val="15"/>
  </w:num>
  <w:num w:numId="32">
    <w:abstractNumId w:val="22"/>
  </w:num>
  <w:num w:numId="33">
    <w:abstractNumId w:val="30"/>
  </w:num>
  <w:num w:numId="34">
    <w:abstractNumId w:val="12"/>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ck, Paige">
    <w15:presenceInfo w15:providerId="AD" w15:userId="S::Paige.Krack@cchmc.org::5cd3d76e-2923-44f7-bfc7-2e9486ae8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NjY0MTG3MDW0tDBS0lEKTi0uzszPAykwrAUA3tWOeCwAAAA="/>
  </w:docVars>
  <w:rsids>
    <w:rsidRoot w:val="00F83429"/>
    <w:rsid w:val="00011448"/>
    <w:rsid w:val="000559A7"/>
    <w:rsid w:val="000611DA"/>
    <w:rsid w:val="001012E8"/>
    <w:rsid w:val="00110B03"/>
    <w:rsid w:val="001136EA"/>
    <w:rsid w:val="001328DB"/>
    <w:rsid w:val="00142B53"/>
    <w:rsid w:val="001676A3"/>
    <w:rsid w:val="001D3595"/>
    <w:rsid w:val="001F67B8"/>
    <w:rsid w:val="001F7072"/>
    <w:rsid w:val="002315C2"/>
    <w:rsid w:val="00235B3F"/>
    <w:rsid w:val="00255F6A"/>
    <w:rsid w:val="00275895"/>
    <w:rsid w:val="002947C8"/>
    <w:rsid w:val="002A418B"/>
    <w:rsid w:val="002C5824"/>
    <w:rsid w:val="002C6B3A"/>
    <w:rsid w:val="002E3DE6"/>
    <w:rsid w:val="002F0C85"/>
    <w:rsid w:val="00340625"/>
    <w:rsid w:val="003A134C"/>
    <w:rsid w:val="003D5280"/>
    <w:rsid w:val="003F03C0"/>
    <w:rsid w:val="0041226A"/>
    <w:rsid w:val="00424A12"/>
    <w:rsid w:val="00425BE7"/>
    <w:rsid w:val="00461012"/>
    <w:rsid w:val="00461879"/>
    <w:rsid w:val="00463344"/>
    <w:rsid w:val="004A1654"/>
    <w:rsid w:val="004B1A62"/>
    <w:rsid w:val="004E46BE"/>
    <w:rsid w:val="00520CC6"/>
    <w:rsid w:val="00544767"/>
    <w:rsid w:val="005478D5"/>
    <w:rsid w:val="0055683D"/>
    <w:rsid w:val="005705E9"/>
    <w:rsid w:val="005876D4"/>
    <w:rsid w:val="005D70C1"/>
    <w:rsid w:val="005F413A"/>
    <w:rsid w:val="0060746F"/>
    <w:rsid w:val="006105DB"/>
    <w:rsid w:val="0061426D"/>
    <w:rsid w:val="00641C5F"/>
    <w:rsid w:val="006458CE"/>
    <w:rsid w:val="006631EA"/>
    <w:rsid w:val="00680CEE"/>
    <w:rsid w:val="006C29CE"/>
    <w:rsid w:val="006E5F3B"/>
    <w:rsid w:val="00710595"/>
    <w:rsid w:val="007217B6"/>
    <w:rsid w:val="00752813"/>
    <w:rsid w:val="007575DC"/>
    <w:rsid w:val="00773A92"/>
    <w:rsid w:val="0077692D"/>
    <w:rsid w:val="007C7746"/>
    <w:rsid w:val="007C79E3"/>
    <w:rsid w:val="007D7348"/>
    <w:rsid w:val="007F78FB"/>
    <w:rsid w:val="00835DF2"/>
    <w:rsid w:val="00853DAF"/>
    <w:rsid w:val="00861033"/>
    <w:rsid w:val="008977B5"/>
    <w:rsid w:val="008D0905"/>
    <w:rsid w:val="008F6B1C"/>
    <w:rsid w:val="009726F5"/>
    <w:rsid w:val="0098757F"/>
    <w:rsid w:val="00996B8E"/>
    <w:rsid w:val="009B5B8B"/>
    <w:rsid w:val="00A023E3"/>
    <w:rsid w:val="00A133CC"/>
    <w:rsid w:val="00A17403"/>
    <w:rsid w:val="00A44419"/>
    <w:rsid w:val="00A53BBD"/>
    <w:rsid w:val="00A670F4"/>
    <w:rsid w:val="00A90248"/>
    <w:rsid w:val="00A90CE2"/>
    <w:rsid w:val="00B90D49"/>
    <w:rsid w:val="00B96B0E"/>
    <w:rsid w:val="00BB0539"/>
    <w:rsid w:val="00BB3973"/>
    <w:rsid w:val="00BC3AFD"/>
    <w:rsid w:val="00BE0470"/>
    <w:rsid w:val="00BF7A70"/>
    <w:rsid w:val="00C247FE"/>
    <w:rsid w:val="00C40A0D"/>
    <w:rsid w:val="00C43F82"/>
    <w:rsid w:val="00C57251"/>
    <w:rsid w:val="00C670FA"/>
    <w:rsid w:val="00CA58C1"/>
    <w:rsid w:val="00CE2FF9"/>
    <w:rsid w:val="00D26D11"/>
    <w:rsid w:val="00D272DD"/>
    <w:rsid w:val="00D56901"/>
    <w:rsid w:val="00DB1AF6"/>
    <w:rsid w:val="00DD39CE"/>
    <w:rsid w:val="00E05FDB"/>
    <w:rsid w:val="00E9114F"/>
    <w:rsid w:val="00EB38F8"/>
    <w:rsid w:val="00EB7301"/>
    <w:rsid w:val="00EC044F"/>
    <w:rsid w:val="00EF6BBF"/>
    <w:rsid w:val="00F53166"/>
    <w:rsid w:val="00F54934"/>
    <w:rsid w:val="00F54EC0"/>
    <w:rsid w:val="00F72DBC"/>
    <w:rsid w:val="00F83429"/>
    <w:rsid w:val="00F93D09"/>
    <w:rsid w:val="00F958D3"/>
    <w:rsid w:val="00FD23EE"/>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paragraph" w:styleId="NormalWeb">
    <w:name w:val="Normal (Web)"/>
    <w:basedOn w:val="Normal"/>
    <w:uiPriority w:val="99"/>
    <w:semiHidden/>
    <w:unhideWhenUsed/>
    <w:rsid w:val="004A165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683D"/>
    <w:rPr>
      <w:sz w:val="16"/>
      <w:szCs w:val="16"/>
    </w:rPr>
  </w:style>
  <w:style w:type="paragraph" w:styleId="CommentText">
    <w:name w:val="annotation text"/>
    <w:basedOn w:val="Normal"/>
    <w:link w:val="CommentTextChar"/>
    <w:uiPriority w:val="99"/>
    <w:semiHidden/>
    <w:unhideWhenUsed/>
    <w:rsid w:val="0055683D"/>
    <w:rPr>
      <w:sz w:val="20"/>
      <w:szCs w:val="20"/>
    </w:rPr>
  </w:style>
  <w:style w:type="character" w:customStyle="1" w:styleId="CommentTextChar">
    <w:name w:val="Comment Text Char"/>
    <w:basedOn w:val="DefaultParagraphFont"/>
    <w:link w:val="CommentText"/>
    <w:uiPriority w:val="99"/>
    <w:semiHidden/>
    <w:rsid w:val="0055683D"/>
    <w:rPr>
      <w:sz w:val="20"/>
      <w:szCs w:val="20"/>
    </w:rPr>
  </w:style>
  <w:style w:type="paragraph" w:styleId="CommentSubject">
    <w:name w:val="annotation subject"/>
    <w:basedOn w:val="CommentText"/>
    <w:next w:val="CommentText"/>
    <w:link w:val="CommentSubjectChar"/>
    <w:uiPriority w:val="99"/>
    <w:semiHidden/>
    <w:unhideWhenUsed/>
    <w:rsid w:val="0055683D"/>
    <w:rPr>
      <w:b/>
      <w:bCs/>
    </w:rPr>
  </w:style>
  <w:style w:type="character" w:customStyle="1" w:styleId="CommentSubjectChar">
    <w:name w:val="Comment Subject Char"/>
    <w:basedOn w:val="CommentTextChar"/>
    <w:link w:val="CommentSubject"/>
    <w:uiPriority w:val="99"/>
    <w:semiHidden/>
    <w:rsid w:val="00556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99579">
      <w:bodyDiv w:val="1"/>
      <w:marLeft w:val="0"/>
      <w:marRight w:val="0"/>
      <w:marTop w:val="0"/>
      <w:marBottom w:val="0"/>
      <w:divBdr>
        <w:top w:val="none" w:sz="0" w:space="0" w:color="auto"/>
        <w:left w:val="none" w:sz="0" w:space="0" w:color="auto"/>
        <w:bottom w:val="none" w:sz="0" w:space="0" w:color="auto"/>
        <w:right w:val="none" w:sz="0" w:space="0" w:color="auto"/>
      </w:divBdr>
    </w:div>
    <w:div w:id="195521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E5AF-38F2-488A-ABB9-BBDBC6E8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DSouza, Nikita</cp:lastModifiedBy>
  <cp:revision>4</cp:revision>
  <cp:lastPrinted>2019-05-13T16:40:00Z</cp:lastPrinted>
  <dcterms:created xsi:type="dcterms:W3CDTF">2021-11-11T17:01:00Z</dcterms:created>
  <dcterms:modified xsi:type="dcterms:W3CDTF">2022-02-28T14:46:00Z</dcterms:modified>
</cp:coreProperties>
</file>