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B73E" w14:textId="1E5BD778"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4691480D" w:rsidR="00454D58" w:rsidRPr="00454D58" w:rsidRDefault="00167DDF" w:rsidP="00454D58">
                            <w:pPr>
                              <w:spacing w:line="440" w:lineRule="atLeast"/>
                              <w:rPr>
                                <w:rFonts w:ascii="Arial" w:hAnsi="Arial" w:cs="Arial"/>
                                <w:color w:val="578988"/>
                                <w:sz w:val="36"/>
                                <w:szCs w:val="36"/>
                              </w:rPr>
                            </w:pPr>
                            <w:r w:rsidRPr="00167DDF">
                              <w:rPr>
                                <w:rFonts w:ascii="Arial" w:hAnsi="Arial" w:cs="Arial"/>
                                <w:color w:val="578988"/>
                                <w:sz w:val="36"/>
                                <w:szCs w:val="36"/>
                              </w:rPr>
                              <w:t xml:space="preserve">Evaluation and </w:t>
                            </w:r>
                            <w:r w:rsidR="00676F81">
                              <w:rPr>
                                <w:rFonts w:ascii="Arial" w:hAnsi="Arial" w:cs="Arial"/>
                                <w:color w:val="578988"/>
                                <w:sz w:val="36"/>
                                <w:szCs w:val="36"/>
                              </w:rPr>
                              <w:t>M</w:t>
                            </w:r>
                            <w:r w:rsidRPr="00167DDF">
                              <w:rPr>
                                <w:rFonts w:ascii="Arial" w:hAnsi="Arial" w:cs="Arial"/>
                                <w:color w:val="578988"/>
                                <w:sz w:val="36"/>
                                <w:szCs w:val="36"/>
                              </w:rPr>
                              <w:t xml:space="preserve">anagement of Protein Losing Enteropathy in Fontan </w:t>
                            </w:r>
                            <w:r w:rsidR="00676F81">
                              <w:rPr>
                                <w:rFonts w:ascii="Arial" w:hAnsi="Arial" w:cs="Arial"/>
                                <w:color w:val="578988"/>
                                <w:sz w:val="36"/>
                                <w:szCs w:val="36"/>
                              </w:rPr>
                              <w:t>P</w:t>
                            </w:r>
                            <w:r w:rsidRPr="00167DDF">
                              <w:rPr>
                                <w:rFonts w:ascii="Arial" w:hAnsi="Arial" w:cs="Arial"/>
                                <w:color w:val="578988"/>
                                <w:sz w:val="36"/>
                                <w:szCs w:val="36"/>
                              </w:rPr>
                              <w:t>atients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16F7DE94" w14:textId="4691480D" w:rsidR="00454D58" w:rsidRPr="00454D58" w:rsidRDefault="00167DDF" w:rsidP="00454D58">
                      <w:pPr>
                        <w:spacing w:line="440" w:lineRule="atLeast"/>
                        <w:rPr>
                          <w:rFonts w:ascii="Arial" w:hAnsi="Arial" w:cs="Arial"/>
                          <w:color w:val="578988"/>
                          <w:sz w:val="36"/>
                          <w:szCs w:val="36"/>
                        </w:rPr>
                      </w:pPr>
                      <w:r w:rsidRPr="00167DDF">
                        <w:rPr>
                          <w:rFonts w:ascii="Arial" w:hAnsi="Arial" w:cs="Arial"/>
                          <w:color w:val="578988"/>
                          <w:sz w:val="36"/>
                          <w:szCs w:val="36"/>
                        </w:rPr>
                        <w:t xml:space="preserve">Evaluation and </w:t>
                      </w:r>
                      <w:r w:rsidR="00676F81">
                        <w:rPr>
                          <w:rFonts w:ascii="Arial" w:hAnsi="Arial" w:cs="Arial"/>
                          <w:color w:val="578988"/>
                          <w:sz w:val="36"/>
                          <w:szCs w:val="36"/>
                        </w:rPr>
                        <w:t>M</w:t>
                      </w:r>
                      <w:r w:rsidRPr="00167DDF">
                        <w:rPr>
                          <w:rFonts w:ascii="Arial" w:hAnsi="Arial" w:cs="Arial"/>
                          <w:color w:val="578988"/>
                          <w:sz w:val="36"/>
                          <w:szCs w:val="36"/>
                        </w:rPr>
                        <w:t xml:space="preserve">anagement of Protein Losing Enteropathy in Fontan </w:t>
                      </w:r>
                      <w:r w:rsidR="00676F81">
                        <w:rPr>
                          <w:rFonts w:ascii="Arial" w:hAnsi="Arial" w:cs="Arial"/>
                          <w:color w:val="578988"/>
                          <w:sz w:val="36"/>
                          <w:szCs w:val="36"/>
                        </w:rPr>
                        <w:t>P</w:t>
                      </w:r>
                      <w:r w:rsidRPr="00167DDF">
                        <w:rPr>
                          <w:rFonts w:ascii="Arial" w:hAnsi="Arial" w:cs="Arial"/>
                          <w:color w:val="578988"/>
                          <w:sz w:val="36"/>
                          <w:szCs w:val="36"/>
                        </w:rPr>
                        <w:t>atients</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4465C6D9" w:rsidR="009B5B8B" w:rsidRDefault="00DA2565"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06C73DB7">
                <wp:simplePos x="0" y="0"/>
                <wp:positionH relativeFrom="page">
                  <wp:align>left</wp:align>
                </wp:positionH>
                <wp:positionV relativeFrom="page">
                  <wp:posOffset>1552669</wp:posOffset>
                </wp:positionV>
                <wp:extent cx="7772400" cy="2550254"/>
                <wp:effectExtent l="0" t="0" r="0" b="2540"/>
                <wp:wrapTopAndBottom/>
                <wp:docPr id="2" name="Rectangle 2"/>
                <wp:cNvGraphicFramePr/>
                <a:graphic xmlns:a="http://schemas.openxmlformats.org/drawingml/2006/main">
                  <a:graphicData uri="http://schemas.microsoft.com/office/word/2010/wordprocessingShape">
                    <wps:wsp>
                      <wps:cNvSpPr/>
                      <wps:spPr>
                        <a:xfrm>
                          <a:off x="0" y="0"/>
                          <a:ext cx="7772400" cy="2550254"/>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2.25pt;width:612pt;height:200.8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" fillcolor="#79c6bb" stroked="f" strokeweight="1pt">
                <v:fill opacity="9766f"/>
                <v:textbox inset="0,0,0,0">
                  <w:txbxContent>
                    <w:p w14:paraId="51EC962E" w14:textId="77777777" w:rsidR="00FB32D1" w:rsidRDefault="00FB32D1" w:rsidP="00FB32D1">
                      <w:pPr>
                        <w:jc w:val="center"/>
                      </w:pPr>
                    </w:p>
                  </w:txbxContent>
                </v:textbox>
                <w10:wrap type="topAndBottom" anchorx="page" anchory="page"/>
              </v:rect>
            </w:pict>
          </mc:Fallback>
        </mc:AlternateContent>
      </w:r>
    </w:p>
    <w:p w14:paraId="1DF44805" w14:textId="77777777" w:rsidR="00B857C5" w:rsidRDefault="00B857C5" w:rsidP="39F5D29E">
      <w:pPr>
        <w:spacing w:line="240" w:lineRule="exact"/>
        <w:rPr>
          <w:rFonts w:ascii="Arial" w:hAnsi="Arial" w:cs="Arial"/>
          <w:b/>
          <w:bCs/>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4F229C0A">
                <wp:simplePos x="0" y="0"/>
                <wp:positionH relativeFrom="margin">
                  <wp:align>left</wp:align>
                </wp:positionH>
                <wp:positionV relativeFrom="page">
                  <wp:posOffset>1625096</wp:posOffset>
                </wp:positionV>
                <wp:extent cx="6107186" cy="2273417"/>
                <wp:effectExtent l="0" t="0" r="0" b="0"/>
                <wp:wrapNone/>
                <wp:docPr id="3" name="Text Box 3"/>
                <wp:cNvGraphicFramePr/>
                <a:graphic xmlns:a="http://schemas.openxmlformats.org/drawingml/2006/main">
                  <a:graphicData uri="http://schemas.microsoft.com/office/word/2010/wordprocessingShape">
                    <wps:wsp>
                      <wps:cNvSpPr txBox="1"/>
                      <wps:spPr>
                        <a:xfrm>
                          <a:off x="0" y="0"/>
                          <a:ext cx="6107186" cy="227341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4A7A7E" w:rsidRDefault="009B1CA4" w:rsidP="00B857C5">
                            <w:pPr>
                              <w:spacing w:line="280" w:lineRule="exact"/>
                              <w:rPr>
                                <w:rFonts w:ascii="Arial" w:hAnsi="Arial" w:cs="Arial"/>
                                <w:b/>
                                <w:color w:val="589095" w:themeColor="accent1"/>
                                <w:spacing w:val="20"/>
                                <w:sz w:val="20"/>
                                <w:szCs w:val="20"/>
                              </w:rPr>
                            </w:pPr>
                            <w:r w:rsidRPr="004A7A7E">
                              <w:rPr>
                                <w:rFonts w:ascii="Arial" w:hAnsi="Arial" w:cs="Arial"/>
                                <w:b/>
                                <w:color w:val="589095" w:themeColor="accent1"/>
                                <w:spacing w:val="20"/>
                                <w:sz w:val="20"/>
                                <w:szCs w:val="20"/>
                              </w:rPr>
                              <w:t>BACKGROUND</w:t>
                            </w:r>
                          </w:p>
                          <w:p w14:paraId="65CD833D" w14:textId="6041E96C" w:rsidR="001F67B8" w:rsidRPr="004A7A7E" w:rsidRDefault="00DA2565" w:rsidP="00B857C5">
                            <w:pPr>
                              <w:spacing w:line="280" w:lineRule="exact"/>
                              <w:rPr>
                                <w:rFonts w:ascii="Arial" w:hAnsi="Arial" w:cs="Arial"/>
                                <w:color w:val="777777" w:themeColor="text1"/>
                                <w:sz w:val="20"/>
                                <w:szCs w:val="20"/>
                              </w:rPr>
                            </w:pPr>
                            <w:r w:rsidRPr="004A7A7E">
                              <w:rPr>
                                <w:rFonts w:ascii="Arial" w:hAnsi="Arial" w:cs="Arial"/>
                                <w:color w:val="777777" w:themeColor="text1"/>
                                <w:sz w:val="20"/>
                                <w:szCs w:val="20"/>
                              </w:rPr>
                              <w:t>The common endpoint of staged surgical palliation for patients with single ventricle physiology is the Fontan procedure. Approximately 5-12% of Fontan patients will develop protein-losing enteropathy (PLE), characterized by the abnormal int</w:t>
                            </w:r>
                            <w:r w:rsidR="00D609E4" w:rsidRPr="004A7A7E">
                              <w:rPr>
                                <w:rFonts w:ascii="Arial" w:hAnsi="Arial" w:cs="Arial"/>
                                <w:color w:val="777777" w:themeColor="text1"/>
                                <w:sz w:val="20"/>
                                <w:szCs w:val="20"/>
                              </w:rPr>
                              <w:t>estinal loss of serum proteins.</w:t>
                            </w:r>
                            <w:r w:rsidRPr="004A7A7E">
                              <w:rPr>
                                <w:rFonts w:ascii="Arial" w:hAnsi="Arial" w:cs="Arial"/>
                                <w:color w:val="777777" w:themeColor="text1"/>
                                <w:sz w:val="20"/>
                                <w:szCs w:val="20"/>
                              </w:rPr>
                              <w:t xml:space="preserve"> It is a potentially devastating disease with 5-year mortality reported </w:t>
                            </w:r>
                            <w:r w:rsidR="00D609E4" w:rsidRPr="004A7A7E">
                              <w:rPr>
                                <w:rFonts w:ascii="Arial" w:hAnsi="Arial" w:cs="Arial"/>
                                <w:color w:val="777777" w:themeColor="text1"/>
                                <w:sz w:val="20"/>
                                <w:szCs w:val="20"/>
                              </w:rPr>
                              <w:t>as high as 50% after diagnosis.</w:t>
                            </w:r>
                            <w:r w:rsidRPr="004A7A7E">
                              <w:rPr>
                                <w:rFonts w:ascii="Arial" w:hAnsi="Arial" w:cs="Arial"/>
                                <w:color w:val="777777" w:themeColor="text1"/>
                                <w:sz w:val="20"/>
                                <w:szCs w:val="20"/>
                              </w:rPr>
                              <w:t xml:space="preserve"> Although the exact cause of PLE is incompletely understood, abnormal mesenteric resistance, chronic systemic and enteral inflammation, derangement of the lymphatic circulation, and abnormal enterocyte basal membranes all likely play a role in PLE’s development and progression. The role of abnormal lymphatic anatomy and function is increasingly appreciated. Regardless of underlying pathophysiology, PLE leads to significant morbidity in Fontan patients. Treatment strategies have evolved over time and have variable reported efficacy, contributing to the challenges in management of these complex patients.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0;margin-top:127.95pt;width:480.9pt;height:179pt;z-index:251660288;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" filled="f" stroked="f">
                <v:textbox inset="0,0,,0">
                  <w:txbxContent>
                    <w:p w14:paraId="48970CA9" w14:textId="77777777" w:rsidR="001F67B8" w:rsidRPr="004A7A7E" w:rsidRDefault="009B1CA4" w:rsidP="00B857C5">
                      <w:pPr>
                        <w:spacing w:line="280" w:lineRule="exact"/>
                        <w:rPr>
                          <w:rFonts w:ascii="Arial" w:hAnsi="Arial" w:cs="Arial"/>
                          <w:b/>
                          <w:color w:val="589095" w:themeColor="accent1"/>
                          <w:spacing w:val="20"/>
                          <w:sz w:val="20"/>
                          <w:szCs w:val="20"/>
                        </w:rPr>
                      </w:pPr>
                      <w:r w:rsidRPr="004A7A7E">
                        <w:rPr>
                          <w:rFonts w:ascii="Arial" w:hAnsi="Arial" w:cs="Arial"/>
                          <w:b/>
                          <w:color w:val="589095" w:themeColor="accent1"/>
                          <w:spacing w:val="20"/>
                          <w:sz w:val="20"/>
                          <w:szCs w:val="20"/>
                        </w:rPr>
                        <w:t>BACKGROUND</w:t>
                      </w:r>
                    </w:p>
                    <w:p w14:paraId="65CD833D" w14:textId="6041E96C" w:rsidR="001F67B8" w:rsidRPr="004A7A7E" w:rsidRDefault="00DA2565" w:rsidP="00B857C5">
                      <w:pPr>
                        <w:spacing w:line="280" w:lineRule="exact"/>
                        <w:rPr>
                          <w:rFonts w:ascii="Arial" w:hAnsi="Arial" w:cs="Arial"/>
                          <w:color w:val="777777" w:themeColor="text1"/>
                          <w:sz w:val="20"/>
                          <w:szCs w:val="20"/>
                        </w:rPr>
                      </w:pPr>
                      <w:r w:rsidRPr="004A7A7E">
                        <w:rPr>
                          <w:rFonts w:ascii="Arial" w:hAnsi="Arial" w:cs="Arial"/>
                          <w:color w:val="777777" w:themeColor="text1"/>
                          <w:sz w:val="20"/>
                          <w:szCs w:val="20"/>
                        </w:rPr>
                        <w:t>The common endpoint of staged surgical palliation for patients with single ventricle physiology is the Fontan procedure. Approximately 5-12% of Fontan patients will develop protein-losing enteropathy (PLE), characterized by the abnormal int</w:t>
                      </w:r>
                      <w:r w:rsidR="00D609E4" w:rsidRPr="004A7A7E">
                        <w:rPr>
                          <w:rFonts w:ascii="Arial" w:hAnsi="Arial" w:cs="Arial"/>
                          <w:color w:val="777777" w:themeColor="text1"/>
                          <w:sz w:val="20"/>
                          <w:szCs w:val="20"/>
                        </w:rPr>
                        <w:t>estinal loss of serum proteins.</w:t>
                      </w:r>
                      <w:r w:rsidRPr="004A7A7E">
                        <w:rPr>
                          <w:rFonts w:ascii="Arial" w:hAnsi="Arial" w:cs="Arial"/>
                          <w:color w:val="777777" w:themeColor="text1"/>
                          <w:sz w:val="20"/>
                          <w:szCs w:val="20"/>
                        </w:rPr>
                        <w:t xml:space="preserve"> It is a potentially devastating disease with 5-year mortality reported </w:t>
                      </w:r>
                      <w:r w:rsidR="00D609E4" w:rsidRPr="004A7A7E">
                        <w:rPr>
                          <w:rFonts w:ascii="Arial" w:hAnsi="Arial" w:cs="Arial"/>
                          <w:color w:val="777777" w:themeColor="text1"/>
                          <w:sz w:val="20"/>
                          <w:szCs w:val="20"/>
                        </w:rPr>
                        <w:t>as high as 50% after diagnosis.</w:t>
                      </w:r>
                      <w:r w:rsidRPr="004A7A7E">
                        <w:rPr>
                          <w:rFonts w:ascii="Arial" w:hAnsi="Arial" w:cs="Arial"/>
                          <w:color w:val="777777" w:themeColor="text1"/>
                          <w:sz w:val="20"/>
                          <w:szCs w:val="20"/>
                        </w:rPr>
                        <w:t xml:space="preserve"> Although the exact cause of PLE is incompletely understood, abnormal mesenteric resistance, chronic systemic and enteral inflammation, derangement of the lymphatic circulation, and abnormal enterocyte basal membranes all likely play a role in PLE’s development and progression. The role of abnormal lymphatic anatomy and function is increasingly appreciated. Regardless of underlying pathophysiology, PLE leads to significant morbidity in Fontan patients. Treatment strategies have evolved over time and have variable reported efficacy, contributing to the challenges in management of these complex patients.</w:t>
                      </w:r>
                    </w:p>
                  </w:txbxContent>
                </v:textbox>
                <w10:wrap anchorx="margin" anchory="page"/>
              </v:shape>
            </w:pict>
          </mc:Fallback>
        </mc:AlternateContent>
      </w:r>
    </w:p>
    <w:p w14:paraId="48B4C51D" w14:textId="7C611888" w:rsidR="008D2C90" w:rsidRPr="00BB6560" w:rsidRDefault="008D2C90" w:rsidP="007575DC">
      <w:pPr>
        <w:spacing w:line="240" w:lineRule="exact"/>
        <w:rPr>
          <w:rFonts w:ascii="Arial" w:hAnsi="Arial" w:cs="Arial"/>
          <w:b/>
          <w:bCs/>
          <w:color w:val="589095" w:themeColor="accent1"/>
          <w:spacing w:val="20"/>
          <w:sz w:val="20"/>
          <w:szCs w:val="20"/>
        </w:rPr>
      </w:pPr>
      <w:r w:rsidRPr="004A7A7E">
        <w:rPr>
          <w:rFonts w:ascii="Arial" w:hAnsi="Arial" w:cs="Arial"/>
          <w:b/>
          <w:color w:val="589095" w:themeColor="accent1"/>
          <w:spacing w:val="20"/>
          <w:sz w:val="20"/>
          <w:szCs w:val="20"/>
        </w:rPr>
        <w:t xml:space="preserve">ACTION REVISED DATE: </w:t>
      </w:r>
      <w:r w:rsidR="00F33DDC">
        <w:rPr>
          <w:rFonts w:ascii="Arial" w:hAnsi="Arial" w:cs="Arial"/>
          <w:b/>
          <w:bCs/>
          <w:color w:val="589095" w:themeColor="accent1"/>
          <w:sz w:val="20"/>
          <w:szCs w:val="20"/>
        </w:rPr>
        <w:t>12/12</w:t>
      </w:r>
      <w:r w:rsidR="005107E4" w:rsidRPr="00BB6560">
        <w:rPr>
          <w:rFonts w:ascii="Arial" w:hAnsi="Arial" w:cs="Arial"/>
          <w:b/>
          <w:bCs/>
          <w:color w:val="589095" w:themeColor="accent1"/>
          <w:sz w:val="20"/>
          <w:szCs w:val="20"/>
        </w:rPr>
        <w:t>/2024</w:t>
      </w:r>
    </w:p>
    <w:p w14:paraId="65D328D9" w14:textId="77777777" w:rsidR="008D2C90" w:rsidRDefault="008D2C90" w:rsidP="007575DC">
      <w:pPr>
        <w:spacing w:line="240" w:lineRule="exact"/>
        <w:rPr>
          <w:rFonts w:ascii="Arial" w:hAnsi="Arial" w:cs="Arial"/>
          <w:b/>
          <w:color w:val="578988"/>
          <w:spacing w:val="20"/>
          <w:sz w:val="20"/>
          <w:szCs w:val="20"/>
        </w:rPr>
      </w:pPr>
    </w:p>
    <w:p w14:paraId="4ED7227D" w14:textId="08BFFF60"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3378F087" w14:textId="773C2536" w:rsidR="00FB32D1" w:rsidRDefault="00DA2565" w:rsidP="007575DC">
      <w:pPr>
        <w:spacing w:line="240" w:lineRule="exact"/>
        <w:rPr>
          <w:rFonts w:ascii="Arial" w:hAnsi="Arial" w:cs="Arial"/>
          <w:color w:val="6C6C6C"/>
          <w:sz w:val="20"/>
          <w:szCs w:val="20"/>
        </w:rPr>
      </w:pPr>
      <w:r w:rsidRPr="00DA2565">
        <w:rPr>
          <w:rFonts w:ascii="Arial" w:hAnsi="Arial" w:cs="Arial"/>
          <w:color w:val="6C6C6C"/>
          <w:sz w:val="20"/>
          <w:szCs w:val="20"/>
        </w:rPr>
        <w:t>To offer standardized guidance for evaluation and management of Fontan patients during initial and recurrent episodes of PLE.</w:t>
      </w:r>
    </w:p>
    <w:p w14:paraId="52FD8B4E" w14:textId="77777777" w:rsidR="00B17807" w:rsidRPr="00F25D13" w:rsidRDefault="00B17807" w:rsidP="007575DC">
      <w:pPr>
        <w:spacing w:line="240" w:lineRule="exact"/>
        <w:rPr>
          <w:rFonts w:ascii="Arial" w:hAnsi="Arial" w:cs="Arial"/>
          <w:color w:val="6C6C6C"/>
          <w:sz w:val="20"/>
          <w:szCs w:val="20"/>
        </w:rPr>
      </w:pPr>
    </w:p>
    <w:p w14:paraId="41B03BBE" w14:textId="77777777" w:rsidR="003817FD" w:rsidRPr="00F25D13" w:rsidRDefault="009B1CA4" w:rsidP="003817FD">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2127CDFF" w14:textId="77777777" w:rsidR="00DA2565" w:rsidRPr="00DA2565" w:rsidRDefault="00DA2565" w:rsidP="00C94A2B">
      <w:pPr>
        <w:pStyle w:val="ListParagraph"/>
        <w:numPr>
          <w:ilvl w:val="0"/>
          <w:numId w:val="1"/>
        </w:numPr>
        <w:spacing w:line="240" w:lineRule="exact"/>
        <w:ind w:left="360"/>
        <w:rPr>
          <w:rFonts w:ascii="Arial" w:hAnsi="Arial" w:cs="Arial"/>
          <w:b/>
          <w:color w:val="578988"/>
          <w:spacing w:val="20"/>
          <w:sz w:val="20"/>
          <w:szCs w:val="20"/>
        </w:rPr>
      </w:pPr>
      <w:r w:rsidRPr="00DA2565">
        <w:rPr>
          <w:rFonts w:ascii="Arial" w:hAnsi="Arial" w:cs="Arial"/>
          <w:b/>
          <w:color w:val="707070" w:themeColor="background2" w:themeShade="80"/>
          <w:sz w:val="20"/>
          <w:szCs w:val="20"/>
        </w:rPr>
        <w:t>Clinical definition of PLE in Fontan patients</w:t>
      </w:r>
    </w:p>
    <w:p w14:paraId="6D08FEAA" w14:textId="757B5439" w:rsidR="00DA2565" w:rsidRDefault="00DA2565" w:rsidP="00BB6560">
      <w:pPr>
        <w:pStyle w:val="ListParagraph"/>
        <w:spacing w:line="240" w:lineRule="exact"/>
        <w:ind w:left="360"/>
        <w:rPr>
          <w:rFonts w:ascii="Arial" w:hAnsi="Arial" w:cs="Arial"/>
          <w:color w:val="707070" w:themeColor="background2" w:themeShade="80"/>
          <w:sz w:val="20"/>
        </w:rPr>
      </w:pPr>
      <w:r w:rsidRPr="00DA2565">
        <w:rPr>
          <w:rFonts w:ascii="Arial" w:hAnsi="Arial" w:cs="Arial"/>
          <w:color w:val="707070" w:themeColor="background2" w:themeShade="80"/>
          <w:sz w:val="20"/>
        </w:rPr>
        <w:t>Concurrent with the enteric loss of protein, patients with PLE present with a history of edema, abdominal distension (ascites), diarrhea, and/or effusions. Patients may also have reduced linear growth velocity with reduced bone density in chronic cases due to disruption in calcium regulation as well as consequence of steroid therapy. PLE patients may have increased susceptibility to infection due to stool immunoglobulin loss and lymphopenia. Laboratory derangements include hypoalbuminemia</w:t>
      </w:r>
      <w:r w:rsidR="003A60D2">
        <w:rPr>
          <w:rFonts w:ascii="Arial" w:hAnsi="Arial" w:cs="Arial"/>
          <w:color w:val="707070" w:themeColor="background2" w:themeShade="80"/>
          <w:sz w:val="20"/>
        </w:rPr>
        <w:t xml:space="preserve"> and</w:t>
      </w:r>
      <w:r w:rsidRPr="00DA2565">
        <w:rPr>
          <w:rFonts w:ascii="Arial" w:hAnsi="Arial" w:cs="Arial"/>
          <w:color w:val="707070" w:themeColor="background2" w:themeShade="80"/>
          <w:sz w:val="20"/>
        </w:rPr>
        <w:t xml:space="preserve"> hypoproteinemia. Coagulation abnormalities may also be present due to dysregulation of clotting factors which places patients at additional risk of thromboembolic events. PLE is often a chronic disease with a relapsing and remitting clinical course over time.</w:t>
      </w:r>
    </w:p>
    <w:p w14:paraId="1196DF50" w14:textId="3801CD10" w:rsidR="00BB6560" w:rsidRDefault="00BB6560">
      <w:pPr>
        <w:rPr>
          <w:rFonts w:ascii="Arial" w:hAnsi="Arial" w:cs="Arial"/>
          <w:color w:val="707070" w:themeColor="background2" w:themeShade="80"/>
          <w:sz w:val="20"/>
        </w:rPr>
      </w:pPr>
      <w:r w:rsidRPr="00DA2565">
        <w:rPr>
          <w:noProof/>
        </w:rPr>
        <mc:AlternateContent>
          <mc:Choice Requires="wps">
            <w:drawing>
              <wp:anchor distT="91440" distB="91440" distL="114300" distR="114300" simplePos="0" relativeHeight="251674624" behindDoc="0" locked="0" layoutInCell="1" allowOverlap="1" wp14:anchorId="3824C205" wp14:editId="7094AEB8">
                <wp:simplePos x="0" y="0"/>
                <wp:positionH relativeFrom="margin">
                  <wp:posOffset>243281</wp:posOffset>
                </wp:positionH>
                <wp:positionV relativeFrom="page">
                  <wp:posOffset>6938010</wp:posOffset>
                </wp:positionV>
                <wp:extent cx="3785616" cy="1344168"/>
                <wp:effectExtent l="0" t="0" r="12065" b="152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616" cy="1344168"/>
                        </a:xfrm>
                        <a:prstGeom prst="rect">
                          <a:avLst/>
                        </a:prstGeom>
                        <a:solidFill>
                          <a:schemeClr val="accent6">
                            <a:lumMod val="20000"/>
                            <a:lumOff val="80000"/>
                            <a:alpha val="41434"/>
                          </a:schemeClr>
                        </a:solidFill>
                        <a:ln w="9525">
                          <a:solidFill>
                            <a:schemeClr val="accent6">
                              <a:lumMod val="60000"/>
                              <a:lumOff val="40000"/>
                            </a:schemeClr>
                          </a:solidFill>
                          <a:miter lim="800000"/>
                          <a:headEnd/>
                          <a:tailEnd/>
                        </a:ln>
                      </wps:spPr>
                      <wps:txbx>
                        <w:txbxContent>
                          <w:p w14:paraId="2AF67E13" w14:textId="77777777" w:rsidR="00BB6560" w:rsidRPr="004A7A7E" w:rsidRDefault="00BB6560" w:rsidP="00BB6560">
                            <w:pPr>
                              <w:pStyle w:val="NoSpacing1"/>
                              <w:jc w:val="center"/>
                              <w:rPr>
                                <w:rFonts w:ascii="Arial" w:hAnsi="Arial" w:cs="Arial"/>
                                <w:b/>
                                <w:bCs/>
                                <w:color w:val="7670B3" w:themeColor="accent6"/>
                                <w:sz w:val="28"/>
                                <w:szCs w:val="28"/>
                              </w:rPr>
                            </w:pPr>
                            <w:r w:rsidRPr="004A7A7E">
                              <w:rPr>
                                <w:rFonts w:ascii="Arial" w:hAnsi="Arial" w:cs="Arial"/>
                                <w:b/>
                                <w:bCs/>
                                <w:color w:val="7670B3" w:themeColor="accent6"/>
                                <w:sz w:val="28"/>
                                <w:szCs w:val="28"/>
                              </w:rPr>
                              <w:t>Hallmarks of PLE Presentation:</w:t>
                            </w:r>
                            <w:r w:rsidRPr="004A7A7E">
                              <w:rPr>
                                <w:rFonts w:ascii="Arial" w:hAnsi="Arial" w:cs="Arial"/>
                                <w:b/>
                                <w:bCs/>
                                <w:color w:val="7670B3" w:themeColor="accent6"/>
                                <w:sz w:val="28"/>
                                <w:szCs w:val="28"/>
                              </w:rPr>
                              <w:br/>
                            </w:r>
                          </w:p>
                          <w:p w14:paraId="4D4F7AD7" w14:textId="77777777" w:rsidR="00BB6560" w:rsidRPr="00F100F5" w:rsidRDefault="00BB6560" w:rsidP="00BB6560">
                            <w:pPr>
                              <w:pStyle w:val="NoSpacing1"/>
                              <w:spacing w:line="200" w:lineRule="exact"/>
                              <w:jc w:val="center"/>
                              <w:rPr>
                                <w:color w:val="707070" w:themeColor="background2" w:themeShade="80"/>
                              </w:rPr>
                            </w:pPr>
                            <w:r w:rsidRPr="00F100F5">
                              <w:rPr>
                                <w:color w:val="707070" w:themeColor="background2" w:themeShade="80"/>
                              </w:rPr>
                              <w:t>low serum albumin</w:t>
                            </w:r>
                            <w:r>
                              <w:rPr>
                                <w:color w:val="707070" w:themeColor="background2" w:themeShade="80"/>
                              </w:rPr>
                              <w:br/>
                              <w:t>–</w:t>
                            </w:r>
                            <w:r>
                              <w:rPr>
                                <w:color w:val="707070" w:themeColor="background2" w:themeShade="80"/>
                              </w:rPr>
                              <w:br/>
                            </w:r>
                            <w:r w:rsidRPr="00F100F5">
                              <w:rPr>
                                <w:color w:val="707070" w:themeColor="background2" w:themeShade="80"/>
                              </w:rPr>
                              <w:t>positive stool alpha-1-antitrypsin</w:t>
                            </w:r>
                            <w:r>
                              <w:rPr>
                                <w:color w:val="707070" w:themeColor="background2" w:themeShade="80"/>
                              </w:rPr>
                              <w:br/>
                              <w:t>–</w:t>
                            </w:r>
                          </w:p>
                          <w:p w14:paraId="7D285F12" w14:textId="77777777" w:rsidR="00BB6560" w:rsidRPr="004A7A7E" w:rsidRDefault="00BB6560" w:rsidP="00BB6560">
                            <w:pPr>
                              <w:pStyle w:val="NoSpacing1"/>
                              <w:spacing w:line="200" w:lineRule="exact"/>
                              <w:jc w:val="center"/>
                              <w:rPr>
                                <w:color w:val="707070" w:themeColor="background2" w:themeShade="80"/>
                                <w:lang w:val="fr-FR"/>
                              </w:rPr>
                            </w:pPr>
                            <w:r w:rsidRPr="004A7A7E">
                              <w:rPr>
                                <w:color w:val="707070" w:themeColor="background2" w:themeShade="80"/>
                                <w:lang w:val="fr-FR"/>
                              </w:rPr>
                              <w:t>edema, effusions, ascites, GI symptoms, diarrhea</w:t>
                            </w:r>
                          </w:p>
                          <w:p w14:paraId="10D434FF" w14:textId="77777777" w:rsidR="00BB6560" w:rsidRPr="004A7A7E" w:rsidRDefault="00BB6560" w:rsidP="00BB6560">
                            <w:pPr>
                              <w:pStyle w:val="NoSpacing1"/>
                              <w:spacing w:line="200" w:lineRule="exact"/>
                              <w:jc w:val="center"/>
                              <w:rPr>
                                <w:color w:val="707070" w:themeColor="background2" w:themeShade="80"/>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4C205" id="Text Box 2" o:spid="_x0000_s1029" type="#_x0000_t202" style="position:absolute;margin-left:19.15pt;margin-top:546.3pt;width:298.1pt;height:105.85pt;z-index:2516746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" fillcolor="#e3e2ef [665]" strokecolor="#aca9d1 [1945]">
                <v:fill opacity="27242f"/>
                <v:textbox>
                  <w:txbxContent>
                    <w:p w14:paraId="2AF67E13" w14:textId="77777777" w:rsidR="00BB6560" w:rsidRPr="004A7A7E" w:rsidRDefault="00BB6560" w:rsidP="00BB6560">
                      <w:pPr>
                        <w:pStyle w:val="NoSpacing1"/>
                        <w:jc w:val="center"/>
                        <w:rPr>
                          <w:rFonts w:ascii="Arial" w:hAnsi="Arial" w:cs="Arial"/>
                          <w:b/>
                          <w:bCs/>
                          <w:color w:val="7670B3" w:themeColor="accent6"/>
                          <w:sz w:val="28"/>
                          <w:szCs w:val="28"/>
                        </w:rPr>
                      </w:pPr>
                      <w:r w:rsidRPr="004A7A7E">
                        <w:rPr>
                          <w:rFonts w:ascii="Arial" w:hAnsi="Arial" w:cs="Arial"/>
                          <w:b/>
                          <w:bCs/>
                          <w:color w:val="7670B3" w:themeColor="accent6"/>
                          <w:sz w:val="28"/>
                          <w:szCs w:val="28"/>
                        </w:rPr>
                        <w:t>Hallmarks of PLE Presentation:</w:t>
                      </w:r>
                      <w:r w:rsidRPr="004A7A7E">
                        <w:rPr>
                          <w:rFonts w:ascii="Arial" w:hAnsi="Arial" w:cs="Arial"/>
                          <w:b/>
                          <w:bCs/>
                          <w:color w:val="7670B3" w:themeColor="accent6"/>
                          <w:sz w:val="28"/>
                          <w:szCs w:val="28"/>
                        </w:rPr>
                        <w:br/>
                      </w:r>
                    </w:p>
                    <w:p w14:paraId="4D4F7AD7" w14:textId="77777777" w:rsidR="00BB6560" w:rsidRPr="00F100F5" w:rsidRDefault="00BB6560" w:rsidP="00BB6560">
                      <w:pPr>
                        <w:pStyle w:val="NoSpacing1"/>
                        <w:spacing w:line="200" w:lineRule="exact"/>
                        <w:jc w:val="center"/>
                        <w:rPr>
                          <w:color w:val="707070" w:themeColor="background2" w:themeShade="80"/>
                        </w:rPr>
                      </w:pPr>
                      <w:r w:rsidRPr="00F100F5">
                        <w:rPr>
                          <w:color w:val="707070" w:themeColor="background2" w:themeShade="80"/>
                        </w:rPr>
                        <w:t>low serum albumin</w:t>
                      </w:r>
                      <w:r>
                        <w:rPr>
                          <w:color w:val="707070" w:themeColor="background2" w:themeShade="80"/>
                        </w:rPr>
                        <w:br/>
                        <w:t>–</w:t>
                      </w:r>
                      <w:r>
                        <w:rPr>
                          <w:color w:val="707070" w:themeColor="background2" w:themeShade="80"/>
                        </w:rPr>
                        <w:br/>
                      </w:r>
                      <w:r w:rsidRPr="00F100F5">
                        <w:rPr>
                          <w:color w:val="707070" w:themeColor="background2" w:themeShade="80"/>
                        </w:rPr>
                        <w:t>positive stool alpha-1-antitrypsin</w:t>
                      </w:r>
                      <w:r>
                        <w:rPr>
                          <w:color w:val="707070" w:themeColor="background2" w:themeShade="80"/>
                        </w:rPr>
                        <w:br/>
                        <w:t>–</w:t>
                      </w:r>
                    </w:p>
                    <w:p w14:paraId="7D285F12" w14:textId="77777777" w:rsidR="00BB6560" w:rsidRPr="004A7A7E" w:rsidRDefault="00BB6560" w:rsidP="00BB6560">
                      <w:pPr>
                        <w:pStyle w:val="NoSpacing1"/>
                        <w:spacing w:line="200" w:lineRule="exact"/>
                        <w:jc w:val="center"/>
                        <w:rPr>
                          <w:color w:val="707070" w:themeColor="background2" w:themeShade="80"/>
                          <w:lang w:val="fr-FR"/>
                        </w:rPr>
                      </w:pPr>
                      <w:r w:rsidRPr="004A7A7E">
                        <w:rPr>
                          <w:color w:val="707070" w:themeColor="background2" w:themeShade="80"/>
                          <w:lang w:val="fr-FR"/>
                        </w:rPr>
                        <w:t>edema, effusions, ascites, GI symptoms, diarrhea</w:t>
                      </w:r>
                    </w:p>
                    <w:p w14:paraId="10D434FF" w14:textId="77777777" w:rsidR="00BB6560" w:rsidRPr="004A7A7E" w:rsidRDefault="00BB6560" w:rsidP="00BB6560">
                      <w:pPr>
                        <w:pStyle w:val="NoSpacing1"/>
                        <w:spacing w:line="200" w:lineRule="exact"/>
                        <w:jc w:val="center"/>
                        <w:rPr>
                          <w:color w:val="707070" w:themeColor="background2" w:themeShade="80"/>
                          <w:lang w:val="fr-FR"/>
                        </w:rPr>
                      </w:pPr>
                    </w:p>
                  </w:txbxContent>
                </v:textbox>
                <w10:wrap type="topAndBottom" anchorx="margin" anchory="page"/>
              </v:shape>
            </w:pict>
          </mc:Fallback>
        </mc:AlternateContent>
      </w:r>
      <w:r>
        <w:rPr>
          <w:rFonts w:ascii="Arial" w:hAnsi="Arial" w:cs="Arial"/>
          <w:color w:val="707070" w:themeColor="background2" w:themeShade="80"/>
          <w:sz w:val="20"/>
        </w:rPr>
        <w:br w:type="page"/>
      </w:r>
    </w:p>
    <w:p w14:paraId="62811E16" w14:textId="10049018" w:rsidR="00DA2565" w:rsidRPr="00DA2565" w:rsidRDefault="00DA2565" w:rsidP="00BB6560">
      <w:pPr>
        <w:spacing w:line="240" w:lineRule="exact"/>
        <w:rPr>
          <w:rFonts w:ascii="Arial" w:hAnsi="Arial" w:cs="Arial"/>
          <w:color w:val="707070" w:themeColor="background2" w:themeShade="80"/>
          <w:sz w:val="20"/>
        </w:rPr>
      </w:pPr>
    </w:p>
    <w:p w14:paraId="0107BE12" w14:textId="3C9350EC" w:rsidR="00DA2565" w:rsidRPr="004A7A7E" w:rsidRDefault="00DA2565" w:rsidP="00C94A2B">
      <w:pPr>
        <w:pStyle w:val="ListParagraph"/>
        <w:numPr>
          <w:ilvl w:val="0"/>
          <w:numId w:val="1"/>
        </w:numPr>
        <w:spacing w:line="240" w:lineRule="exact"/>
        <w:ind w:left="360"/>
        <w:rPr>
          <w:rFonts w:ascii="Arial" w:hAnsi="Arial" w:cs="Arial"/>
          <w:b/>
          <w:color w:val="707070" w:themeColor="background2" w:themeShade="80"/>
          <w:spacing w:val="20"/>
          <w:sz w:val="20"/>
          <w:szCs w:val="20"/>
        </w:rPr>
      </w:pPr>
      <w:r w:rsidRPr="00DA2565">
        <w:rPr>
          <w:rFonts w:ascii="Arial" w:hAnsi="Arial" w:cs="Arial"/>
          <w:b/>
          <w:color w:val="707070" w:themeColor="background2" w:themeShade="80"/>
          <w:sz w:val="20"/>
          <w:szCs w:val="20"/>
        </w:rPr>
        <w:t>Initial evaluation of PLE</w:t>
      </w:r>
      <w:r w:rsidRPr="004A7A7E">
        <w:rPr>
          <w:rFonts w:ascii="Arial" w:hAnsi="Arial" w:cs="Arial"/>
          <w:color w:val="707070" w:themeColor="background2" w:themeShade="80"/>
          <w:sz w:val="20"/>
          <w:szCs w:val="20"/>
        </w:rPr>
        <w:br/>
      </w:r>
    </w:p>
    <w:tbl>
      <w:tblPr>
        <w:tblStyle w:val="TableGrid"/>
        <w:tblW w:w="9450" w:type="dxa"/>
        <w:tblInd w:w="355" w:type="dxa"/>
        <w:tblLook w:val="04A0" w:firstRow="1" w:lastRow="0" w:firstColumn="1" w:lastColumn="0" w:noHBand="0" w:noVBand="1"/>
      </w:tblPr>
      <w:tblGrid>
        <w:gridCol w:w="1060"/>
        <w:gridCol w:w="898"/>
        <w:gridCol w:w="1282"/>
        <w:gridCol w:w="1922"/>
        <w:gridCol w:w="1228"/>
        <w:gridCol w:w="3060"/>
      </w:tblGrid>
      <w:tr w:rsidR="00BB6560" w:rsidRPr="00F100F5" w14:paraId="37F2608B" w14:textId="77777777" w:rsidTr="00BB6560">
        <w:trPr>
          <w:trHeight w:val="962"/>
        </w:trPr>
        <w:tc>
          <w:tcPr>
            <w:tcW w:w="3240" w:type="dxa"/>
            <w:gridSpan w:val="3"/>
            <w:shd w:val="clear" w:color="auto" w:fill="7670B3" w:themeFill="accent6"/>
            <w:vAlign w:val="center"/>
          </w:tcPr>
          <w:p w14:paraId="7F7F5563" w14:textId="77777777" w:rsidR="00DA2565" w:rsidRPr="004A7A7E" w:rsidRDefault="00DA2565" w:rsidP="004A7A7E">
            <w:pPr>
              <w:rPr>
                <w:rFonts w:ascii="Arial" w:hAnsi="Arial" w:cs="Arial"/>
                <w:b/>
                <w:bCs/>
                <w:color w:val="FFFFFF" w:themeColor="background1"/>
                <w:sz w:val="20"/>
                <w:szCs w:val="20"/>
              </w:rPr>
            </w:pPr>
            <w:r w:rsidRPr="004A7A7E">
              <w:rPr>
                <w:rFonts w:ascii="Arial" w:hAnsi="Arial" w:cs="Arial"/>
                <w:b/>
                <w:bCs/>
                <w:color w:val="FFFFFF" w:themeColor="background1"/>
                <w:sz w:val="20"/>
                <w:szCs w:val="20"/>
              </w:rPr>
              <w:t>Laboratory evaluation</w:t>
            </w:r>
          </w:p>
        </w:tc>
        <w:tc>
          <w:tcPr>
            <w:tcW w:w="3150" w:type="dxa"/>
            <w:gridSpan w:val="2"/>
            <w:tcBorders>
              <w:bottom w:val="single" w:sz="4" w:space="0" w:color="auto"/>
            </w:tcBorders>
            <w:shd w:val="clear" w:color="auto" w:fill="7670B3" w:themeFill="accent6"/>
            <w:vAlign w:val="center"/>
          </w:tcPr>
          <w:p w14:paraId="52FBC21B" w14:textId="77777777" w:rsidR="00DA2565" w:rsidRPr="004A7A7E" w:rsidRDefault="00DA2565" w:rsidP="004A7A7E">
            <w:pPr>
              <w:rPr>
                <w:rFonts w:ascii="Arial" w:hAnsi="Arial" w:cs="Arial"/>
                <w:b/>
                <w:bCs/>
                <w:color w:val="FFFFFF" w:themeColor="background1"/>
                <w:sz w:val="20"/>
                <w:szCs w:val="20"/>
              </w:rPr>
            </w:pPr>
            <w:r w:rsidRPr="004A7A7E">
              <w:rPr>
                <w:rFonts w:ascii="Arial" w:hAnsi="Arial" w:cs="Arial"/>
                <w:b/>
                <w:bCs/>
                <w:color w:val="FFFFFF" w:themeColor="background1"/>
                <w:sz w:val="20"/>
                <w:szCs w:val="20"/>
              </w:rPr>
              <w:t>Diagnostics</w:t>
            </w:r>
          </w:p>
        </w:tc>
        <w:tc>
          <w:tcPr>
            <w:tcW w:w="3060" w:type="dxa"/>
            <w:tcBorders>
              <w:bottom w:val="single" w:sz="4" w:space="0" w:color="auto"/>
            </w:tcBorders>
            <w:shd w:val="clear" w:color="auto" w:fill="7670B3" w:themeFill="accent6"/>
            <w:vAlign w:val="center"/>
          </w:tcPr>
          <w:p w14:paraId="1F526B7D" w14:textId="77777777" w:rsidR="00DA2565" w:rsidRPr="004A7A7E" w:rsidRDefault="00DA2565" w:rsidP="004A7A7E">
            <w:pPr>
              <w:rPr>
                <w:rFonts w:ascii="Arial" w:hAnsi="Arial" w:cs="Arial"/>
                <w:b/>
                <w:bCs/>
                <w:color w:val="FFFFFF" w:themeColor="background1"/>
                <w:sz w:val="20"/>
                <w:szCs w:val="20"/>
              </w:rPr>
            </w:pPr>
            <w:r w:rsidRPr="004A7A7E">
              <w:rPr>
                <w:rFonts w:ascii="Arial" w:hAnsi="Arial" w:cs="Arial"/>
                <w:b/>
                <w:bCs/>
                <w:color w:val="FFFFFF" w:themeColor="background1"/>
                <w:sz w:val="20"/>
                <w:szCs w:val="20"/>
              </w:rPr>
              <w:t>Invasive imaging and intervention considerations (patient specific)</w:t>
            </w:r>
          </w:p>
        </w:tc>
      </w:tr>
      <w:tr w:rsidR="00BB6560" w:rsidRPr="00BB6560" w14:paraId="18A4B7BC" w14:textId="77777777" w:rsidTr="00BB6560">
        <w:trPr>
          <w:trHeight w:val="352"/>
        </w:trPr>
        <w:tc>
          <w:tcPr>
            <w:tcW w:w="3240" w:type="dxa"/>
            <w:gridSpan w:val="3"/>
            <w:tcBorders>
              <w:bottom w:val="single" w:sz="4" w:space="0" w:color="auto"/>
              <w:right w:val="single" w:sz="4" w:space="0" w:color="auto"/>
            </w:tcBorders>
          </w:tcPr>
          <w:p w14:paraId="686E8EEF"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Blood</w:t>
            </w:r>
          </w:p>
        </w:tc>
        <w:tc>
          <w:tcPr>
            <w:tcW w:w="1922" w:type="dxa"/>
            <w:tcBorders>
              <w:top w:val="single" w:sz="4" w:space="0" w:color="auto"/>
              <w:left w:val="single" w:sz="4" w:space="0" w:color="auto"/>
              <w:bottom w:val="nil"/>
              <w:right w:val="nil"/>
            </w:tcBorders>
          </w:tcPr>
          <w:p w14:paraId="746E49E0"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Echocardiogram</w:t>
            </w:r>
          </w:p>
        </w:tc>
        <w:tc>
          <w:tcPr>
            <w:tcW w:w="1228" w:type="dxa"/>
            <w:tcBorders>
              <w:top w:val="single" w:sz="4" w:space="0" w:color="auto"/>
              <w:left w:val="nil"/>
              <w:bottom w:val="nil"/>
              <w:right w:val="single" w:sz="4" w:space="0" w:color="auto"/>
            </w:tcBorders>
          </w:tcPr>
          <w:p w14:paraId="46151B86"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Holter monitor</w:t>
            </w:r>
          </w:p>
        </w:tc>
        <w:tc>
          <w:tcPr>
            <w:tcW w:w="3060" w:type="dxa"/>
            <w:tcBorders>
              <w:top w:val="single" w:sz="4" w:space="0" w:color="auto"/>
              <w:left w:val="single" w:sz="4" w:space="0" w:color="auto"/>
              <w:bottom w:val="nil"/>
              <w:right w:val="single" w:sz="4" w:space="0" w:color="auto"/>
            </w:tcBorders>
          </w:tcPr>
          <w:p w14:paraId="32CDB4FA"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Cardiac catheterization</w:t>
            </w:r>
          </w:p>
        </w:tc>
      </w:tr>
      <w:tr w:rsidR="00BB6560" w:rsidRPr="00BB6560" w14:paraId="18F614B5" w14:textId="77777777" w:rsidTr="00BB6560">
        <w:trPr>
          <w:trHeight w:val="339"/>
        </w:trPr>
        <w:tc>
          <w:tcPr>
            <w:tcW w:w="1060" w:type="dxa"/>
            <w:tcBorders>
              <w:top w:val="single" w:sz="4" w:space="0" w:color="auto"/>
              <w:left w:val="single" w:sz="4" w:space="0" w:color="auto"/>
              <w:bottom w:val="nil"/>
              <w:right w:val="nil"/>
            </w:tcBorders>
          </w:tcPr>
          <w:p w14:paraId="022963C5" w14:textId="677B9461" w:rsidR="00DA2565" w:rsidRPr="00BB6560" w:rsidRDefault="00DA2565" w:rsidP="00E03C7A">
            <w:pPr>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Albumin</w:t>
            </w:r>
          </w:p>
        </w:tc>
        <w:tc>
          <w:tcPr>
            <w:tcW w:w="898" w:type="dxa"/>
            <w:tcBorders>
              <w:top w:val="single" w:sz="4" w:space="0" w:color="auto"/>
              <w:left w:val="nil"/>
              <w:bottom w:val="nil"/>
              <w:right w:val="nil"/>
            </w:tcBorders>
          </w:tcPr>
          <w:p w14:paraId="08E52016"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CBC w/diff</w:t>
            </w:r>
          </w:p>
        </w:tc>
        <w:tc>
          <w:tcPr>
            <w:tcW w:w="1282" w:type="dxa"/>
            <w:tcBorders>
              <w:top w:val="single" w:sz="4" w:space="0" w:color="auto"/>
              <w:left w:val="nil"/>
              <w:bottom w:val="nil"/>
              <w:right w:val="single" w:sz="4" w:space="0" w:color="auto"/>
            </w:tcBorders>
          </w:tcPr>
          <w:p w14:paraId="590CA337" w14:textId="17DA3782" w:rsidR="00DA2565" w:rsidRPr="00BB6560" w:rsidRDefault="00DA2565" w:rsidP="00E03C7A">
            <w:pPr>
              <w:ind w:left="28"/>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LFT</w:t>
            </w:r>
            <w:r w:rsidRPr="00BB6560">
              <w:rPr>
                <w:rFonts w:ascii="Arial" w:hAnsi="Arial" w:cs="Arial"/>
                <w:color w:val="707070" w:themeColor="background2" w:themeShade="80"/>
                <w:sz w:val="18"/>
                <w:szCs w:val="18"/>
              </w:rPr>
              <w:br/>
            </w:r>
            <w:r w:rsidRPr="00BB6560">
              <w:rPr>
                <w:rFonts w:ascii="Arial" w:hAnsi="Arial" w:cs="Arial"/>
                <w:color w:val="707070" w:themeColor="background2" w:themeShade="80"/>
                <w:sz w:val="18"/>
                <w:szCs w:val="18"/>
              </w:rPr>
              <w:br/>
            </w:r>
          </w:p>
        </w:tc>
        <w:tc>
          <w:tcPr>
            <w:tcW w:w="1922" w:type="dxa"/>
            <w:tcBorders>
              <w:top w:val="nil"/>
              <w:left w:val="single" w:sz="4" w:space="0" w:color="auto"/>
              <w:bottom w:val="nil"/>
              <w:right w:val="nil"/>
            </w:tcBorders>
          </w:tcPr>
          <w:p w14:paraId="54DE60CB"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Electrocardiogram</w:t>
            </w:r>
          </w:p>
        </w:tc>
        <w:tc>
          <w:tcPr>
            <w:tcW w:w="1228" w:type="dxa"/>
            <w:tcBorders>
              <w:top w:val="nil"/>
              <w:left w:val="nil"/>
              <w:bottom w:val="nil"/>
              <w:right w:val="single" w:sz="4" w:space="0" w:color="auto"/>
            </w:tcBorders>
          </w:tcPr>
          <w:p w14:paraId="723424E8"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Cardiac MRI</w:t>
            </w:r>
          </w:p>
        </w:tc>
        <w:tc>
          <w:tcPr>
            <w:tcW w:w="3060" w:type="dxa"/>
            <w:tcBorders>
              <w:top w:val="nil"/>
              <w:left w:val="single" w:sz="4" w:space="0" w:color="auto"/>
              <w:bottom w:val="nil"/>
              <w:right w:val="single" w:sz="4" w:space="0" w:color="auto"/>
            </w:tcBorders>
          </w:tcPr>
          <w:p w14:paraId="5578DE54" w14:textId="4D81A302" w:rsidR="00DA2565" w:rsidRPr="00BB6560" w:rsidRDefault="00DA2565" w:rsidP="00BA4FE4">
            <w:pPr>
              <w:tabs>
                <w:tab w:val="left" w:pos="1782"/>
              </w:tabs>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Lymphangiogram</w:t>
            </w:r>
          </w:p>
        </w:tc>
      </w:tr>
      <w:tr w:rsidR="00BB6560" w:rsidRPr="00BB6560" w14:paraId="67E59632" w14:textId="77777777" w:rsidTr="00BB6560">
        <w:trPr>
          <w:trHeight w:val="352"/>
        </w:trPr>
        <w:tc>
          <w:tcPr>
            <w:tcW w:w="1060" w:type="dxa"/>
            <w:tcBorders>
              <w:top w:val="nil"/>
              <w:left w:val="single" w:sz="4" w:space="0" w:color="auto"/>
              <w:bottom w:val="nil"/>
              <w:right w:val="nil"/>
            </w:tcBorders>
          </w:tcPr>
          <w:p w14:paraId="33853594"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 xml:space="preserve"> Total protein</w:t>
            </w:r>
          </w:p>
        </w:tc>
        <w:tc>
          <w:tcPr>
            <w:tcW w:w="898" w:type="dxa"/>
            <w:tcBorders>
              <w:top w:val="nil"/>
              <w:left w:val="nil"/>
              <w:bottom w:val="nil"/>
              <w:right w:val="nil"/>
            </w:tcBorders>
          </w:tcPr>
          <w:p w14:paraId="18652FBB"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BMP w/Mg</w:t>
            </w:r>
          </w:p>
        </w:tc>
        <w:tc>
          <w:tcPr>
            <w:tcW w:w="1282" w:type="dxa"/>
            <w:tcBorders>
              <w:top w:val="nil"/>
              <w:left w:val="nil"/>
              <w:bottom w:val="nil"/>
              <w:right w:val="single" w:sz="4" w:space="0" w:color="auto"/>
            </w:tcBorders>
          </w:tcPr>
          <w:p w14:paraId="7CE4DEEA" w14:textId="77777777" w:rsidR="00DA2565" w:rsidRPr="00BB6560" w:rsidRDefault="00DA2565" w:rsidP="00E03C7A">
            <w:pPr>
              <w:ind w:left="28"/>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 ATIII</w:t>
            </w:r>
          </w:p>
        </w:tc>
        <w:tc>
          <w:tcPr>
            <w:tcW w:w="1922" w:type="dxa"/>
            <w:tcBorders>
              <w:top w:val="nil"/>
              <w:left w:val="single" w:sz="4" w:space="0" w:color="auto"/>
              <w:bottom w:val="nil"/>
              <w:right w:val="nil"/>
            </w:tcBorders>
          </w:tcPr>
          <w:p w14:paraId="7348A9DF"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CXR (AP &amp; Lat)</w:t>
            </w:r>
          </w:p>
        </w:tc>
        <w:tc>
          <w:tcPr>
            <w:tcW w:w="1228" w:type="dxa"/>
            <w:tcBorders>
              <w:top w:val="nil"/>
              <w:left w:val="nil"/>
              <w:bottom w:val="nil"/>
              <w:right w:val="single" w:sz="4" w:space="0" w:color="auto"/>
            </w:tcBorders>
          </w:tcPr>
          <w:p w14:paraId="45A9BB62"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+/-Venous US</w:t>
            </w:r>
          </w:p>
        </w:tc>
        <w:tc>
          <w:tcPr>
            <w:tcW w:w="3060" w:type="dxa"/>
            <w:vMerge w:val="restart"/>
            <w:tcBorders>
              <w:top w:val="nil"/>
              <w:left w:val="single" w:sz="4" w:space="0" w:color="auto"/>
              <w:right w:val="single" w:sz="4" w:space="0" w:color="auto"/>
            </w:tcBorders>
          </w:tcPr>
          <w:p w14:paraId="1B8683AF" w14:textId="379C1633" w:rsidR="00DA2565" w:rsidRPr="00BB6560" w:rsidRDefault="00BA4FE4" w:rsidP="00BA4FE4">
            <w:pPr>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 xml:space="preserve">     </w:t>
            </w:r>
            <w:r w:rsidR="00DA2565" w:rsidRPr="00BB6560">
              <w:rPr>
                <w:rFonts w:ascii="Arial" w:hAnsi="Arial" w:cs="Arial"/>
                <w:color w:val="707070" w:themeColor="background2" w:themeShade="80"/>
                <w:sz w:val="18"/>
                <w:szCs w:val="18"/>
              </w:rPr>
              <w:t>MRI</w:t>
            </w:r>
          </w:p>
          <w:p w14:paraId="12768554"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 xml:space="preserve">     Interventional radiology</w:t>
            </w:r>
          </w:p>
        </w:tc>
      </w:tr>
      <w:tr w:rsidR="00BB6560" w:rsidRPr="00BB6560" w14:paraId="2D9C32BD" w14:textId="77777777" w:rsidTr="00BB6560">
        <w:trPr>
          <w:trHeight w:val="352"/>
        </w:trPr>
        <w:tc>
          <w:tcPr>
            <w:tcW w:w="1060" w:type="dxa"/>
            <w:tcBorders>
              <w:top w:val="nil"/>
              <w:left w:val="single" w:sz="4" w:space="0" w:color="auto"/>
              <w:bottom w:val="single" w:sz="4" w:space="0" w:color="auto"/>
              <w:right w:val="nil"/>
            </w:tcBorders>
          </w:tcPr>
          <w:p w14:paraId="6DBFDC38" w14:textId="7E6F3900"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br/>
              <w:t>IgG level</w:t>
            </w:r>
          </w:p>
        </w:tc>
        <w:tc>
          <w:tcPr>
            <w:tcW w:w="898" w:type="dxa"/>
            <w:tcBorders>
              <w:top w:val="nil"/>
              <w:left w:val="nil"/>
              <w:bottom w:val="single" w:sz="4" w:space="0" w:color="auto"/>
              <w:right w:val="nil"/>
            </w:tcBorders>
          </w:tcPr>
          <w:p w14:paraId="74704B4C" w14:textId="0BEAAA44"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br/>
              <w:t>INR, PTT</w:t>
            </w:r>
          </w:p>
        </w:tc>
        <w:tc>
          <w:tcPr>
            <w:tcW w:w="1282" w:type="dxa"/>
            <w:tcBorders>
              <w:top w:val="nil"/>
              <w:left w:val="nil"/>
              <w:bottom w:val="single" w:sz="4" w:space="0" w:color="auto"/>
              <w:right w:val="single" w:sz="4" w:space="0" w:color="auto"/>
            </w:tcBorders>
          </w:tcPr>
          <w:p w14:paraId="1305A5A9" w14:textId="4492B085" w:rsidR="00DA2565" w:rsidRPr="00BB6560" w:rsidRDefault="00DA2565" w:rsidP="00E03C7A">
            <w:pPr>
              <w:ind w:left="28"/>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br/>
              <w:t>Vitamin D</w:t>
            </w:r>
          </w:p>
        </w:tc>
        <w:tc>
          <w:tcPr>
            <w:tcW w:w="1922" w:type="dxa"/>
            <w:tcBorders>
              <w:top w:val="nil"/>
              <w:left w:val="single" w:sz="4" w:space="0" w:color="auto"/>
              <w:bottom w:val="nil"/>
              <w:right w:val="nil"/>
            </w:tcBorders>
          </w:tcPr>
          <w:p w14:paraId="5AB11265"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Abdominal US</w:t>
            </w:r>
          </w:p>
        </w:tc>
        <w:tc>
          <w:tcPr>
            <w:tcW w:w="1228" w:type="dxa"/>
            <w:tcBorders>
              <w:top w:val="nil"/>
              <w:left w:val="nil"/>
              <w:bottom w:val="nil"/>
              <w:right w:val="single" w:sz="4" w:space="0" w:color="auto"/>
            </w:tcBorders>
          </w:tcPr>
          <w:p w14:paraId="561B89E7" w14:textId="77777777" w:rsidR="00DA2565" w:rsidRPr="00BB6560" w:rsidRDefault="00DA2565" w:rsidP="00E03C7A">
            <w:pPr>
              <w:ind w:left="-23"/>
              <w:jc w:val="both"/>
              <w:rPr>
                <w:rFonts w:ascii="Arial" w:hAnsi="Arial" w:cs="Arial"/>
                <w:color w:val="707070" w:themeColor="background2" w:themeShade="80"/>
                <w:sz w:val="18"/>
                <w:szCs w:val="18"/>
              </w:rPr>
            </w:pPr>
          </w:p>
        </w:tc>
        <w:tc>
          <w:tcPr>
            <w:tcW w:w="3060" w:type="dxa"/>
            <w:vMerge/>
            <w:tcBorders>
              <w:left w:val="single" w:sz="4" w:space="0" w:color="auto"/>
              <w:right w:val="single" w:sz="4" w:space="0" w:color="auto"/>
            </w:tcBorders>
          </w:tcPr>
          <w:p w14:paraId="79863B41" w14:textId="77777777" w:rsidR="00DA2565" w:rsidRPr="00BB6560" w:rsidRDefault="00DA2565" w:rsidP="00E03C7A">
            <w:pPr>
              <w:ind w:left="-23"/>
              <w:rPr>
                <w:rFonts w:ascii="Arial" w:hAnsi="Arial" w:cs="Arial"/>
                <w:sz w:val="18"/>
                <w:szCs w:val="18"/>
              </w:rPr>
            </w:pPr>
          </w:p>
        </w:tc>
      </w:tr>
      <w:tr w:rsidR="00BB6560" w:rsidRPr="00BB6560" w14:paraId="538C748F" w14:textId="77777777" w:rsidTr="00BB6560">
        <w:trPr>
          <w:trHeight w:val="352"/>
        </w:trPr>
        <w:tc>
          <w:tcPr>
            <w:tcW w:w="1060" w:type="dxa"/>
            <w:tcBorders>
              <w:top w:val="single" w:sz="4" w:space="0" w:color="auto"/>
            </w:tcBorders>
          </w:tcPr>
          <w:p w14:paraId="5C533588"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Urinalysis</w:t>
            </w:r>
          </w:p>
        </w:tc>
        <w:tc>
          <w:tcPr>
            <w:tcW w:w="2180" w:type="dxa"/>
            <w:gridSpan w:val="2"/>
            <w:tcBorders>
              <w:top w:val="single" w:sz="4" w:space="0" w:color="auto"/>
              <w:right w:val="single" w:sz="4" w:space="0" w:color="auto"/>
            </w:tcBorders>
          </w:tcPr>
          <w:p w14:paraId="7F397712" w14:textId="77777777" w:rsidR="00DA2565" w:rsidRPr="00BB6560" w:rsidRDefault="00DA2565" w:rsidP="00E03C7A">
            <w:pPr>
              <w:ind w:left="-23"/>
              <w:jc w:val="both"/>
              <w:rPr>
                <w:rFonts w:ascii="Arial" w:hAnsi="Arial" w:cs="Arial"/>
                <w:color w:val="707070" w:themeColor="background2" w:themeShade="80"/>
                <w:sz w:val="18"/>
                <w:szCs w:val="18"/>
              </w:rPr>
            </w:pPr>
            <w:r w:rsidRPr="00BB6560">
              <w:rPr>
                <w:rFonts w:ascii="Arial" w:hAnsi="Arial" w:cs="Arial"/>
                <w:color w:val="707070" w:themeColor="background2" w:themeShade="80"/>
                <w:sz w:val="18"/>
                <w:szCs w:val="18"/>
              </w:rPr>
              <w:t>Stool alpha-1-antitrypsin</w:t>
            </w:r>
          </w:p>
        </w:tc>
        <w:tc>
          <w:tcPr>
            <w:tcW w:w="1922" w:type="dxa"/>
            <w:tcBorders>
              <w:top w:val="nil"/>
              <w:left w:val="single" w:sz="4" w:space="0" w:color="auto"/>
              <w:bottom w:val="single" w:sz="4" w:space="0" w:color="auto"/>
              <w:right w:val="nil"/>
            </w:tcBorders>
          </w:tcPr>
          <w:p w14:paraId="5A99F77B" w14:textId="77777777" w:rsidR="00DA2565" w:rsidRPr="00BB6560" w:rsidRDefault="00DA2565" w:rsidP="00E03C7A">
            <w:pPr>
              <w:ind w:left="-23"/>
              <w:jc w:val="both"/>
              <w:rPr>
                <w:rFonts w:ascii="Arial" w:hAnsi="Arial" w:cs="Arial"/>
                <w:color w:val="707070" w:themeColor="background2" w:themeShade="80"/>
                <w:sz w:val="18"/>
                <w:szCs w:val="18"/>
              </w:rPr>
            </w:pPr>
          </w:p>
        </w:tc>
        <w:tc>
          <w:tcPr>
            <w:tcW w:w="1228" w:type="dxa"/>
            <w:tcBorders>
              <w:top w:val="nil"/>
              <w:left w:val="nil"/>
              <w:bottom w:val="single" w:sz="4" w:space="0" w:color="auto"/>
              <w:right w:val="single" w:sz="4" w:space="0" w:color="auto"/>
            </w:tcBorders>
          </w:tcPr>
          <w:p w14:paraId="5FB812F5" w14:textId="77777777" w:rsidR="00DA2565" w:rsidRPr="00BB6560" w:rsidRDefault="00DA2565" w:rsidP="00E03C7A">
            <w:pPr>
              <w:ind w:left="-23"/>
              <w:jc w:val="both"/>
              <w:rPr>
                <w:rFonts w:ascii="Arial" w:hAnsi="Arial" w:cs="Arial"/>
                <w:color w:val="707070" w:themeColor="background2" w:themeShade="80"/>
                <w:sz w:val="18"/>
                <w:szCs w:val="18"/>
              </w:rPr>
            </w:pPr>
          </w:p>
        </w:tc>
        <w:tc>
          <w:tcPr>
            <w:tcW w:w="3060" w:type="dxa"/>
            <w:vMerge/>
            <w:tcBorders>
              <w:left w:val="single" w:sz="4" w:space="0" w:color="auto"/>
              <w:bottom w:val="single" w:sz="4" w:space="0" w:color="auto"/>
              <w:right w:val="single" w:sz="4" w:space="0" w:color="auto"/>
            </w:tcBorders>
          </w:tcPr>
          <w:p w14:paraId="33BC22B6" w14:textId="77777777" w:rsidR="00DA2565" w:rsidRPr="00BB6560" w:rsidRDefault="00DA2565" w:rsidP="00E03C7A">
            <w:pPr>
              <w:ind w:left="-23"/>
              <w:rPr>
                <w:rFonts w:ascii="Arial" w:hAnsi="Arial" w:cs="Arial"/>
                <w:sz w:val="18"/>
                <w:szCs w:val="18"/>
              </w:rPr>
            </w:pPr>
          </w:p>
        </w:tc>
      </w:tr>
    </w:tbl>
    <w:p w14:paraId="3012255E" w14:textId="3FAE14E1" w:rsidR="00BA4FE4" w:rsidRPr="00BB6560" w:rsidRDefault="004A7A7E" w:rsidP="00BB6560">
      <w:pPr>
        <w:ind w:left="360"/>
        <w:rPr>
          <w:rFonts w:ascii="Arial" w:hAnsi="Arial" w:cs="Arial"/>
          <w:i/>
          <w:iCs/>
          <w:color w:val="707070" w:themeColor="background2" w:themeShade="80"/>
          <w:sz w:val="18"/>
          <w:szCs w:val="18"/>
        </w:rPr>
      </w:pPr>
      <w:r w:rsidRPr="00BB6560">
        <w:rPr>
          <w:rFonts w:ascii="Arial" w:hAnsi="Arial" w:cs="Arial"/>
          <w:color w:val="707070" w:themeColor="background2" w:themeShade="80"/>
          <w:sz w:val="18"/>
          <w:szCs w:val="18"/>
        </w:rPr>
        <w:br/>
      </w:r>
      <w:r w:rsidR="00BA4FE4" w:rsidRPr="00BB6560">
        <w:rPr>
          <w:rFonts w:ascii="Arial" w:hAnsi="Arial" w:cs="Arial"/>
          <w:i/>
          <w:iCs/>
          <w:color w:val="707070" w:themeColor="background2" w:themeShade="80"/>
          <w:sz w:val="18"/>
          <w:szCs w:val="18"/>
        </w:rPr>
        <w:t>*PLE specific lab work and diagnostic testing should be performed with new diagnosis PLE and then as indicated with recurrence of PLE. Invasive imaging and intervention should be performed on a patient-by-patient basis after initial evaluation.</w:t>
      </w:r>
    </w:p>
    <w:p w14:paraId="69E0A375" w14:textId="77777777" w:rsidR="00BA4FE4" w:rsidRDefault="00BA4FE4" w:rsidP="00BA4FE4">
      <w:pPr>
        <w:rPr>
          <w:rFonts w:ascii="Arial" w:hAnsi="Arial" w:cs="Arial"/>
          <w:color w:val="707070" w:themeColor="background2" w:themeShade="80"/>
          <w:sz w:val="20"/>
        </w:rPr>
      </w:pPr>
    </w:p>
    <w:p w14:paraId="1E7A5914" w14:textId="77777777" w:rsidR="00BA4FE4" w:rsidRPr="00BA4FE4" w:rsidRDefault="00BA4FE4" w:rsidP="00C94A2B">
      <w:pPr>
        <w:pStyle w:val="ListParagraph"/>
        <w:numPr>
          <w:ilvl w:val="0"/>
          <w:numId w:val="2"/>
        </w:numPr>
        <w:spacing w:line="240" w:lineRule="exact"/>
        <w:ind w:left="720"/>
        <w:rPr>
          <w:rFonts w:ascii="Arial" w:hAnsi="Arial" w:cs="Arial"/>
          <w:color w:val="707070" w:themeColor="background2" w:themeShade="80"/>
          <w:spacing w:val="20"/>
          <w:sz w:val="20"/>
          <w:szCs w:val="20"/>
        </w:rPr>
      </w:pPr>
      <w:r w:rsidRPr="00BA4FE4">
        <w:rPr>
          <w:rFonts w:ascii="Arial" w:hAnsi="Arial" w:cs="Arial"/>
          <w:color w:val="707070" w:themeColor="background2" w:themeShade="80"/>
          <w:sz w:val="20"/>
          <w:szCs w:val="20"/>
        </w:rPr>
        <w:t>Physical Exam</w:t>
      </w:r>
    </w:p>
    <w:p w14:paraId="56B82543" w14:textId="77777777"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height, weight, BMI</w:t>
      </w:r>
    </w:p>
    <w:p w14:paraId="717A62BD" w14:textId="77777777"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peripheral edema and/or ascites</w:t>
      </w:r>
    </w:p>
    <w:p w14:paraId="7F2ADFF9" w14:textId="77777777"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muscle wasting</w:t>
      </w:r>
    </w:p>
    <w:p w14:paraId="4382D6A8" w14:textId="77777777"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abdominal distension, hepatomegaly</w:t>
      </w:r>
    </w:p>
    <w:p w14:paraId="69EBA1BC" w14:textId="2140EACF"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pulmonary exam changes consistent with pleural effusion</w:t>
      </w:r>
      <w:r>
        <w:rPr>
          <w:rFonts w:ascii="Arial" w:hAnsi="Arial" w:cs="Arial"/>
          <w:color w:val="707070" w:themeColor="background2" w:themeShade="80"/>
          <w:sz w:val="20"/>
          <w:szCs w:val="20"/>
        </w:rPr>
        <w:br/>
      </w:r>
    </w:p>
    <w:p w14:paraId="71B18CCE" w14:textId="35944B82" w:rsidR="00BA4FE4" w:rsidRDefault="00BA4FE4" w:rsidP="00C94A2B">
      <w:pPr>
        <w:pStyle w:val="ListParagraph"/>
        <w:numPr>
          <w:ilvl w:val="1"/>
          <w:numId w:val="1"/>
        </w:numPr>
        <w:spacing w:line="240" w:lineRule="exact"/>
        <w:ind w:left="72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 xml:space="preserve">Laboratory </w:t>
      </w:r>
      <w:r w:rsidR="0014532E">
        <w:rPr>
          <w:rFonts w:ascii="Arial" w:hAnsi="Arial" w:cs="Arial"/>
          <w:color w:val="707070" w:themeColor="background2" w:themeShade="80"/>
          <w:sz w:val="20"/>
          <w:szCs w:val="20"/>
        </w:rPr>
        <w:t>E</w:t>
      </w:r>
      <w:r w:rsidRPr="00BA4FE4">
        <w:rPr>
          <w:rFonts w:ascii="Arial" w:hAnsi="Arial" w:cs="Arial"/>
          <w:color w:val="707070" w:themeColor="background2" w:themeShade="80"/>
          <w:sz w:val="20"/>
          <w:szCs w:val="20"/>
        </w:rPr>
        <w:t>valuation</w:t>
      </w:r>
    </w:p>
    <w:p w14:paraId="6D55C623" w14:textId="77777777"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Serum albumin</w:t>
      </w:r>
      <w:r w:rsidRPr="00BA4FE4">
        <w:rPr>
          <w:rFonts w:ascii="Arial" w:hAnsi="Arial" w:cs="Arial"/>
          <w:color w:val="707070" w:themeColor="background2" w:themeShade="80"/>
          <w:sz w:val="20"/>
          <w:szCs w:val="20"/>
        </w:rPr>
        <w:tab/>
      </w:r>
    </w:p>
    <w:p w14:paraId="0E9F249A" w14:textId="567D2598"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Serum total protein</w:t>
      </w:r>
    </w:p>
    <w:p w14:paraId="066C1890" w14:textId="388F6738"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Stool alpha-1 antitrypsin level</w:t>
      </w:r>
    </w:p>
    <w:p w14:paraId="398E22A7" w14:textId="44A4D7B2" w:rsidR="00BA4FE4" w:rsidRDefault="00BA4FE4" w:rsidP="00C94A2B">
      <w:pPr>
        <w:pStyle w:val="ListParagraph"/>
        <w:numPr>
          <w:ilvl w:val="3"/>
          <w:numId w:val="16"/>
        </w:numPr>
        <w:spacing w:line="240" w:lineRule="exact"/>
        <w:ind w:left="144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Ideally collected via 24-hour stool collection (gold standard) but consider spot level in patients in whom 24 collection not possible.</w:t>
      </w:r>
    </w:p>
    <w:p w14:paraId="13455B5A" w14:textId="77777777"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Complete metabolic profile (CMP) (including serum electrolytes, BUN, creatinine, calcium and magnesium) with inclusion of liver function tests</w:t>
      </w:r>
    </w:p>
    <w:p w14:paraId="02F3AAB9" w14:textId="3AD75041"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Complete blood count with cell differential (CBC w/diff)</w:t>
      </w:r>
    </w:p>
    <w:p w14:paraId="712E9B29" w14:textId="7A6A2015"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Assess for anemia and lymphopenia.</w:t>
      </w:r>
    </w:p>
    <w:p w14:paraId="332E64E1" w14:textId="77777777"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Coagulation studies, including INR and partial thromboplastin time (PTT)</w:t>
      </w:r>
    </w:p>
    <w:p w14:paraId="15E0DFD0" w14:textId="1EFF0F3A"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Serum immunoglobulin G level</w:t>
      </w:r>
    </w:p>
    <w:p w14:paraId="6EF6DA65" w14:textId="39F7E7CE"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Serum vitamin D level</w:t>
      </w:r>
    </w:p>
    <w:p w14:paraId="0F253880" w14:textId="7684AB77"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Pre-albumin level</w:t>
      </w:r>
    </w:p>
    <w:p w14:paraId="21F537E1" w14:textId="5AB2E811"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Consider urinalysis, including protein, and urine creatinine</w:t>
      </w:r>
    </w:p>
    <w:p w14:paraId="545DB340" w14:textId="527CDC18" w:rsidR="00BA4FE4" w:rsidRPr="00BB6560" w:rsidRDefault="00BA4FE4" w:rsidP="00C94A2B">
      <w:pPr>
        <w:pStyle w:val="ListParagraph"/>
        <w:numPr>
          <w:ilvl w:val="2"/>
          <w:numId w:val="17"/>
        </w:numPr>
        <w:spacing w:line="240" w:lineRule="exact"/>
        <w:ind w:left="1440" w:hanging="180"/>
        <w:rPr>
          <w:rFonts w:ascii="Arial" w:hAnsi="Arial" w:cs="Arial"/>
          <w:color w:val="707070" w:themeColor="background2" w:themeShade="80"/>
          <w:sz w:val="20"/>
          <w:szCs w:val="20"/>
        </w:rPr>
      </w:pPr>
      <w:r w:rsidRPr="00BB6560">
        <w:rPr>
          <w:rFonts w:ascii="Arial" w:hAnsi="Arial" w:cs="Arial"/>
          <w:color w:val="707070" w:themeColor="background2" w:themeShade="80"/>
          <w:sz w:val="20"/>
          <w:szCs w:val="20"/>
        </w:rPr>
        <w:t>Consider anti-thrombin III level with history of thrombosis</w:t>
      </w:r>
      <w:r w:rsidRPr="00BB6560">
        <w:rPr>
          <w:rFonts w:ascii="Arial" w:hAnsi="Arial" w:cs="Arial"/>
          <w:color w:val="707070" w:themeColor="background2" w:themeShade="80"/>
          <w:sz w:val="20"/>
          <w:szCs w:val="20"/>
        </w:rPr>
        <w:br/>
      </w:r>
    </w:p>
    <w:p w14:paraId="1B1456D8" w14:textId="49F54208" w:rsidR="00BA4FE4" w:rsidRDefault="00BA4FE4" w:rsidP="00C94A2B">
      <w:pPr>
        <w:pStyle w:val="ListParagraph"/>
        <w:numPr>
          <w:ilvl w:val="1"/>
          <w:numId w:val="1"/>
        </w:numPr>
        <w:spacing w:line="240" w:lineRule="exact"/>
        <w:ind w:left="72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Diagnostic studies</w:t>
      </w:r>
    </w:p>
    <w:p w14:paraId="66B7F5B9" w14:textId="77777777"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Echocardiogram to assess current function and structures with particular attention to fenestration status, Fontan flow characteristics, pulmonary vein patency, atrial septum restriction, atrio-ventricular valve regurgitation, ventricular function, and ventricular outflow obstruction.</w:t>
      </w:r>
    </w:p>
    <w:p w14:paraId="4566430D" w14:textId="57320BE2"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Electrocardiogram (ECG) to assess baseline rhythm and serial changes</w:t>
      </w:r>
    </w:p>
    <w:p w14:paraId="7F27170C" w14:textId="32DED648"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Chest X-ray (CXR) with AP and lateral views to asse</w:t>
      </w:r>
      <w:r w:rsidR="004A1FBF">
        <w:rPr>
          <w:rFonts w:ascii="Arial" w:hAnsi="Arial" w:cs="Arial"/>
          <w:color w:val="707070" w:themeColor="background2" w:themeShade="80"/>
          <w:sz w:val="20"/>
          <w:szCs w:val="20"/>
        </w:rPr>
        <w:t xml:space="preserve">ss for pleural effusion and/or </w:t>
      </w:r>
      <w:r w:rsidRPr="00BA4FE4">
        <w:rPr>
          <w:rFonts w:ascii="Arial" w:hAnsi="Arial" w:cs="Arial"/>
          <w:color w:val="707070" w:themeColor="background2" w:themeShade="80"/>
          <w:sz w:val="20"/>
          <w:szCs w:val="20"/>
        </w:rPr>
        <w:t>pulmonary edema</w:t>
      </w:r>
    </w:p>
    <w:p w14:paraId="19AC1296" w14:textId="0BE49D60"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lastRenderedPageBreak/>
        <w:t>Abdominal ultrasound (US) with Doppler to assess for ascites, liver size/architecture/vessel flow, spleen, and evidence of portal hypertension</w:t>
      </w:r>
    </w:p>
    <w:p w14:paraId="7951B544" w14:textId="5C7628A4" w:rsidR="00BA4FE4" w:rsidRP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Holter monitor to assess baseline rhythm, sinus node dysfunction, occult arrhythmia</w:t>
      </w:r>
    </w:p>
    <w:p w14:paraId="6BA3C02A" w14:textId="66C30C67" w:rsidR="00DD42AB" w:rsidRPr="00782605"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Consider cardiac magnetic resonance imaging (MRI) to further assess function, Fontan circuit, valve function, potential anatomical obstruction</w:t>
      </w:r>
      <w:r w:rsidR="00782605">
        <w:rPr>
          <w:rFonts w:ascii="Arial" w:hAnsi="Arial" w:cs="Arial"/>
          <w:color w:val="707070" w:themeColor="background2" w:themeShade="80"/>
          <w:sz w:val="20"/>
          <w:szCs w:val="20"/>
        </w:rPr>
        <w:t>, and collateral burden</w:t>
      </w:r>
    </w:p>
    <w:p w14:paraId="60F31594" w14:textId="61896EEE"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Consider venous US of upper and lower extremity veins to assess for patency and presence of new narrowing or obstruction</w:t>
      </w:r>
      <w:r>
        <w:rPr>
          <w:rFonts w:ascii="Arial" w:hAnsi="Arial" w:cs="Arial"/>
          <w:color w:val="707070" w:themeColor="background2" w:themeShade="80"/>
          <w:sz w:val="20"/>
          <w:szCs w:val="20"/>
        </w:rPr>
        <w:br/>
      </w:r>
    </w:p>
    <w:p w14:paraId="151F0181" w14:textId="08FEF72D" w:rsidR="00BA4FE4" w:rsidRDefault="00BA4FE4" w:rsidP="00C94A2B">
      <w:pPr>
        <w:pStyle w:val="ListParagraph"/>
        <w:numPr>
          <w:ilvl w:val="1"/>
          <w:numId w:val="1"/>
        </w:numPr>
        <w:spacing w:line="240" w:lineRule="exact"/>
        <w:ind w:left="72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Invasive imaging and interventions</w:t>
      </w:r>
    </w:p>
    <w:p w14:paraId="385D3571" w14:textId="75D4B23D"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Cardiac catheterization</w:t>
      </w:r>
    </w:p>
    <w:p w14:paraId="68EA2D7B" w14:textId="77777777" w:rsidR="00BA4FE4" w:rsidRPr="00BA4FE4" w:rsidRDefault="00BA4FE4" w:rsidP="00C94A2B">
      <w:pPr>
        <w:pStyle w:val="ListParagraph"/>
        <w:numPr>
          <w:ilvl w:val="3"/>
          <w:numId w:val="18"/>
        </w:numPr>
        <w:spacing w:line="240" w:lineRule="exact"/>
        <w:ind w:left="144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Measure Fontan pressures, cardiac output, ventricular end-diastolic pressure, and pulmonary vascular resistance, which will help to guide the medical management.</w:t>
      </w:r>
    </w:p>
    <w:p w14:paraId="7BC6BB54" w14:textId="3D64FB9E" w:rsidR="00BA4FE4" w:rsidRDefault="00BA4FE4" w:rsidP="00C94A2B">
      <w:pPr>
        <w:pStyle w:val="ListParagraph"/>
        <w:numPr>
          <w:ilvl w:val="3"/>
          <w:numId w:val="18"/>
        </w:numPr>
        <w:spacing w:line="240" w:lineRule="exact"/>
        <w:ind w:left="144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Evaluate and possibly treat any anatomic abnormalities that increase pressure in the Fontan pathway, such as baffle obstruction, pulmonary artery stenosis, and aortopulmonary collaterals</w:t>
      </w:r>
    </w:p>
    <w:p w14:paraId="72AB87AC" w14:textId="35BB554E" w:rsidR="00BA4FE4" w:rsidRDefault="00BA4FE4"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Consider lymphangiogram</w:t>
      </w:r>
    </w:p>
    <w:p w14:paraId="5143DE16" w14:textId="77777777" w:rsidR="00BA4FE4" w:rsidRPr="00BA4FE4" w:rsidRDefault="00BA4FE4" w:rsidP="00C94A2B">
      <w:pPr>
        <w:pStyle w:val="ListParagraph"/>
        <w:numPr>
          <w:ilvl w:val="3"/>
          <w:numId w:val="19"/>
        </w:numPr>
        <w:spacing w:line="240" w:lineRule="exact"/>
        <w:ind w:left="144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MRI lymphangiogram</w:t>
      </w:r>
    </w:p>
    <w:p w14:paraId="6EC44EC6" w14:textId="60AA94A4" w:rsidR="00BA4FE4" w:rsidRDefault="00BA4FE4" w:rsidP="00C94A2B">
      <w:pPr>
        <w:pStyle w:val="ListParagraph"/>
        <w:numPr>
          <w:ilvl w:val="3"/>
          <w:numId w:val="19"/>
        </w:numPr>
        <w:spacing w:line="240" w:lineRule="exact"/>
        <w:ind w:left="1440" w:hanging="18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Interventional radiology</w:t>
      </w:r>
      <w:r>
        <w:rPr>
          <w:rFonts w:ascii="Arial" w:hAnsi="Arial" w:cs="Arial"/>
          <w:color w:val="707070" w:themeColor="background2" w:themeShade="80"/>
          <w:sz w:val="20"/>
          <w:szCs w:val="20"/>
        </w:rPr>
        <w:br/>
      </w:r>
    </w:p>
    <w:p w14:paraId="4FC4FFA4" w14:textId="1FCC3034" w:rsidR="009D5CD9" w:rsidRDefault="00BA4FE4" w:rsidP="00C94A2B">
      <w:pPr>
        <w:pStyle w:val="ListParagraph"/>
        <w:numPr>
          <w:ilvl w:val="1"/>
          <w:numId w:val="1"/>
        </w:numPr>
        <w:spacing w:line="240" w:lineRule="exact"/>
        <w:ind w:left="720"/>
        <w:rPr>
          <w:rFonts w:ascii="Arial" w:hAnsi="Arial" w:cs="Arial"/>
          <w:color w:val="707070" w:themeColor="background2" w:themeShade="80"/>
          <w:sz w:val="20"/>
          <w:szCs w:val="20"/>
        </w:rPr>
      </w:pPr>
      <w:r w:rsidRPr="00BA4FE4">
        <w:rPr>
          <w:rFonts w:ascii="Arial" w:hAnsi="Arial" w:cs="Arial"/>
          <w:color w:val="707070" w:themeColor="background2" w:themeShade="80"/>
          <w:sz w:val="20"/>
          <w:szCs w:val="20"/>
        </w:rPr>
        <w:t>Lymphatic Intervention</w:t>
      </w:r>
      <w:r>
        <w:rPr>
          <w:rFonts w:ascii="Arial" w:hAnsi="Arial" w:cs="Arial"/>
          <w:color w:val="707070" w:themeColor="background2" w:themeShade="80"/>
          <w:sz w:val="20"/>
          <w:szCs w:val="20"/>
        </w:rPr>
        <w:t xml:space="preserve"> </w:t>
      </w:r>
      <w:r>
        <w:rPr>
          <w:rFonts w:ascii="Arial" w:hAnsi="Arial" w:cs="Arial"/>
          <w:color w:val="707070" w:themeColor="background2" w:themeShade="80"/>
          <w:sz w:val="20"/>
          <w:szCs w:val="20"/>
        </w:rPr>
        <w:br/>
      </w:r>
      <w:r w:rsidRPr="00BA4FE4">
        <w:rPr>
          <w:rFonts w:ascii="Arial" w:hAnsi="Arial" w:cs="Arial"/>
          <w:color w:val="707070" w:themeColor="background2" w:themeShade="80"/>
          <w:sz w:val="20"/>
          <w:szCs w:val="20"/>
        </w:rPr>
        <w:t>Patients with PLE recalcitrant to medical interventions may be considered for targeted l</w:t>
      </w:r>
      <w:r w:rsidR="00CA408F">
        <w:rPr>
          <w:rFonts w:ascii="Arial" w:hAnsi="Arial" w:cs="Arial"/>
          <w:color w:val="707070" w:themeColor="background2" w:themeShade="80"/>
          <w:sz w:val="20"/>
          <w:szCs w:val="20"/>
        </w:rPr>
        <w:t xml:space="preserve">ymphatic system interventions. </w:t>
      </w:r>
    </w:p>
    <w:p w14:paraId="253D71E9" w14:textId="5460A872" w:rsidR="009D5CD9" w:rsidRDefault="009D5CD9" w:rsidP="00BB6560">
      <w:pPr>
        <w:pStyle w:val="ListParagraph"/>
        <w:spacing w:line="240" w:lineRule="exact"/>
        <w:rPr>
          <w:rFonts w:ascii="Arial" w:hAnsi="Arial" w:cs="Arial"/>
          <w:color w:val="707070" w:themeColor="background2" w:themeShade="80"/>
          <w:sz w:val="20"/>
          <w:szCs w:val="20"/>
        </w:rPr>
      </w:pPr>
      <w:r>
        <w:rPr>
          <w:rFonts w:ascii="Arial" w:hAnsi="Arial" w:cs="Arial"/>
          <w:color w:val="707070" w:themeColor="background2" w:themeShade="80"/>
          <w:sz w:val="20"/>
          <w:szCs w:val="20"/>
        </w:rPr>
        <w:br/>
      </w:r>
      <w:r w:rsidR="00BA4FE4" w:rsidRPr="009D5CD9">
        <w:rPr>
          <w:rFonts w:ascii="Arial" w:hAnsi="Arial" w:cs="Arial"/>
          <w:color w:val="707070" w:themeColor="background2" w:themeShade="80"/>
          <w:sz w:val="20"/>
          <w:szCs w:val="20"/>
        </w:rPr>
        <w:t>The Fontan circulation, with its obligate increase in central venous pressure, is accompanied by increased hepat</w:t>
      </w:r>
      <w:r w:rsidR="00CA408F">
        <w:rPr>
          <w:rFonts w:ascii="Arial" w:hAnsi="Arial" w:cs="Arial"/>
          <w:color w:val="707070" w:themeColor="background2" w:themeShade="80"/>
          <w:sz w:val="20"/>
          <w:szCs w:val="20"/>
        </w:rPr>
        <w:t xml:space="preserve">ic lymphatic fluid production. </w:t>
      </w:r>
      <w:r w:rsidR="00BA4FE4" w:rsidRPr="009D5CD9">
        <w:rPr>
          <w:rFonts w:ascii="Arial" w:hAnsi="Arial" w:cs="Arial"/>
          <w:color w:val="707070" w:themeColor="background2" w:themeShade="80"/>
          <w:sz w:val="20"/>
          <w:szCs w:val="20"/>
        </w:rPr>
        <w:t xml:space="preserve">This increased lymphatic volume drains via lymphatic channels that connect to the intestinal </w:t>
      </w:r>
      <w:r w:rsidR="00CA408F">
        <w:rPr>
          <w:rFonts w:ascii="Arial" w:hAnsi="Arial" w:cs="Arial"/>
          <w:color w:val="707070" w:themeColor="background2" w:themeShade="80"/>
          <w:sz w:val="20"/>
          <w:szCs w:val="20"/>
        </w:rPr>
        <w:t xml:space="preserve">lumen, usually the duodenum. </w:t>
      </w:r>
      <w:r w:rsidR="00BA4FE4" w:rsidRPr="009D5CD9">
        <w:rPr>
          <w:rFonts w:ascii="Arial" w:hAnsi="Arial" w:cs="Arial"/>
          <w:color w:val="707070" w:themeColor="background2" w:themeShade="80"/>
          <w:sz w:val="20"/>
          <w:szCs w:val="20"/>
        </w:rPr>
        <w:t>In addition, increased hepatic lymphatic fluid production m</w:t>
      </w:r>
      <w:r w:rsidR="00CA408F">
        <w:rPr>
          <w:rFonts w:ascii="Arial" w:hAnsi="Arial" w:cs="Arial"/>
          <w:color w:val="707070" w:themeColor="background2" w:themeShade="80"/>
          <w:sz w:val="20"/>
          <w:szCs w:val="20"/>
        </w:rPr>
        <w:t xml:space="preserve">ay be accompanied by ascites. </w:t>
      </w:r>
      <w:r w:rsidR="00BA4FE4" w:rsidRPr="009D5CD9">
        <w:rPr>
          <w:rFonts w:ascii="Arial" w:hAnsi="Arial" w:cs="Arial"/>
          <w:color w:val="707070" w:themeColor="background2" w:themeShade="80"/>
          <w:sz w:val="20"/>
          <w:szCs w:val="20"/>
        </w:rPr>
        <w:t>Both of these mechanisms may be partly responsib</w:t>
      </w:r>
      <w:r w:rsidR="00CA408F">
        <w:rPr>
          <w:rFonts w:ascii="Arial" w:hAnsi="Arial" w:cs="Arial"/>
          <w:color w:val="707070" w:themeColor="background2" w:themeShade="80"/>
          <w:sz w:val="20"/>
          <w:szCs w:val="20"/>
        </w:rPr>
        <w:t xml:space="preserve">le for the development of PLE. </w:t>
      </w:r>
      <w:r w:rsidR="00BA4FE4" w:rsidRPr="009D5CD9">
        <w:rPr>
          <w:rFonts w:ascii="Arial" w:hAnsi="Arial" w:cs="Arial"/>
          <w:color w:val="707070" w:themeColor="background2" w:themeShade="80"/>
          <w:sz w:val="20"/>
          <w:szCs w:val="20"/>
        </w:rPr>
        <w:t>Hepato-duodenal lymphatic connections can be visualized by intra-hepatic or intra-mesenteric dynamic contrast MR lym</w:t>
      </w:r>
      <w:r w:rsidR="00CA408F">
        <w:rPr>
          <w:rFonts w:ascii="Arial" w:hAnsi="Arial" w:cs="Arial"/>
          <w:color w:val="707070" w:themeColor="background2" w:themeShade="80"/>
          <w:sz w:val="20"/>
          <w:szCs w:val="20"/>
        </w:rPr>
        <w:t>phangiography using gadolinium.</w:t>
      </w:r>
      <w:r w:rsidR="00BA4FE4" w:rsidRPr="009D5CD9">
        <w:rPr>
          <w:rFonts w:ascii="Arial" w:hAnsi="Arial" w:cs="Arial"/>
          <w:color w:val="707070" w:themeColor="background2" w:themeShade="80"/>
          <w:sz w:val="20"/>
          <w:szCs w:val="20"/>
        </w:rPr>
        <w:t xml:space="preserve"> The presence of such connections can also be proven by intrahepatic lymphatic injection of iosulfan blue, with confirmation of iosulfan blue entering the duodenal l</w:t>
      </w:r>
      <w:r w:rsidR="00CA408F">
        <w:rPr>
          <w:rFonts w:ascii="Arial" w:hAnsi="Arial" w:cs="Arial"/>
          <w:color w:val="707070" w:themeColor="background2" w:themeShade="80"/>
          <w:sz w:val="20"/>
          <w:szCs w:val="20"/>
        </w:rPr>
        <w:t xml:space="preserve">umen via concurrent endoscopy. </w:t>
      </w:r>
      <w:r w:rsidR="00BA4FE4" w:rsidRPr="009D5CD9">
        <w:rPr>
          <w:rFonts w:ascii="Arial" w:hAnsi="Arial" w:cs="Arial"/>
          <w:color w:val="707070" w:themeColor="background2" w:themeShade="80"/>
          <w:sz w:val="20"/>
          <w:szCs w:val="20"/>
        </w:rPr>
        <w:t>These connections can then be embolized using glue injected via a transabdominal approach into the hepatic lymphatic channels; improvement or resolution of PLE has been reported in some patients undergoing this procedure.</w:t>
      </w:r>
    </w:p>
    <w:p w14:paraId="345499CF" w14:textId="1E65B58E" w:rsidR="00545810" w:rsidRPr="009D5CD9" w:rsidRDefault="009D5CD9" w:rsidP="00BB6560">
      <w:pPr>
        <w:pStyle w:val="ListParagraph"/>
        <w:spacing w:line="240" w:lineRule="exact"/>
        <w:rPr>
          <w:rFonts w:ascii="Arial" w:hAnsi="Arial" w:cs="Arial"/>
          <w:color w:val="707070" w:themeColor="background2" w:themeShade="80"/>
          <w:sz w:val="20"/>
          <w:szCs w:val="20"/>
        </w:rPr>
      </w:pPr>
      <w:r>
        <w:rPr>
          <w:rFonts w:ascii="Arial" w:hAnsi="Arial" w:cs="Arial"/>
          <w:color w:val="707070" w:themeColor="background2" w:themeShade="80"/>
          <w:sz w:val="20"/>
          <w:szCs w:val="20"/>
        </w:rPr>
        <w:br/>
      </w:r>
      <w:r w:rsidR="00BA4FE4" w:rsidRPr="009D5CD9">
        <w:rPr>
          <w:rFonts w:ascii="Arial" w:hAnsi="Arial" w:cs="Arial"/>
          <w:color w:val="707070" w:themeColor="background2" w:themeShade="80"/>
          <w:sz w:val="20"/>
          <w:szCs w:val="20"/>
        </w:rPr>
        <w:t>“Rerouting” of the innominate vein (which receives thoracic duct effluent) to a lower-pressure cardiac chamber has also been performed in</w:t>
      </w:r>
      <w:r w:rsidR="00CA408F">
        <w:rPr>
          <w:rFonts w:ascii="Arial" w:hAnsi="Arial" w:cs="Arial"/>
          <w:color w:val="707070" w:themeColor="background2" w:themeShade="80"/>
          <w:sz w:val="20"/>
          <w:szCs w:val="20"/>
        </w:rPr>
        <w:t xml:space="preserve"> some patients with severe PLE.</w:t>
      </w:r>
      <w:r w:rsidR="00BA4FE4" w:rsidRPr="009D5CD9">
        <w:rPr>
          <w:rFonts w:ascii="Arial" w:hAnsi="Arial" w:cs="Arial"/>
          <w:color w:val="707070" w:themeColor="background2" w:themeShade="80"/>
          <w:sz w:val="20"/>
          <w:szCs w:val="20"/>
        </w:rPr>
        <w:t xml:space="preserve"> In such interventions, the innominate vein drainage is diverted to the left atrium, either via direct surgical anastomosis or by transcathet</w:t>
      </w:r>
      <w:r>
        <w:rPr>
          <w:rFonts w:ascii="Arial" w:hAnsi="Arial" w:cs="Arial"/>
          <w:color w:val="707070" w:themeColor="background2" w:themeShade="80"/>
          <w:sz w:val="20"/>
          <w:szCs w:val="20"/>
        </w:rPr>
        <w:t>er means using a covered stent.</w:t>
      </w:r>
      <w:r w:rsidR="00BA4FE4" w:rsidRPr="009D5CD9">
        <w:rPr>
          <w:rFonts w:ascii="Arial" w:hAnsi="Arial" w:cs="Arial"/>
          <w:color w:val="707070" w:themeColor="background2" w:themeShade="80"/>
          <w:sz w:val="20"/>
          <w:szCs w:val="20"/>
        </w:rPr>
        <w:t xml:space="preserve"> This approach appears to be most effective for patients with high transpulmonary gradients.</w:t>
      </w:r>
      <w:r w:rsidR="00FE03A2">
        <w:rPr>
          <w:rFonts w:ascii="Arial" w:hAnsi="Arial" w:cs="Arial"/>
          <w:color w:val="707070" w:themeColor="background2" w:themeShade="80"/>
          <w:sz w:val="20"/>
          <w:szCs w:val="20"/>
        </w:rPr>
        <w:t xml:space="preserve"> In practice, this approach is not commonly </w:t>
      </w:r>
      <w:r w:rsidR="00962F85">
        <w:rPr>
          <w:rFonts w:ascii="Arial" w:hAnsi="Arial" w:cs="Arial"/>
          <w:color w:val="707070" w:themeColor="background2" w:themeShade="80"/>
          <w:sz w:val="20"/>
          <w:szCs w:val="20"/>
        </w:rPr>
        <w:t>utilized.</w:t>
      </w:r>
      <w:r>
        <w:rPr>
          <w:rFonts w:ascii="Arial" w:hAnsi="Arial" w:cs="Arial"/>
          <w:color w:val="707070" w:themeColor="background2" w:themeShade="80"/>
          <w:sz w:val="20"/>
          <w:szCs w:val="20"/>
        </w:rPr>
        <w:br/>
      </w:r>
      <w:r>
        <w:rPr>
          <w:rFonts w:ascii="Arial" w:hAnsi="Arial" w:cs="Arial"/>
          <w:color w:val="707070" w:themeColor="background2" w:themeShade="80"/>
          <w:sz w:val="20"/>
          <w:szCs w:val="20"/>
        </w:rPr>
        <w:br/>
      </w:r>
      <w:r w:rsidR="00BA4FE4" w:rsidRPr="009D5CD9">
        <w:rPr>
          <w:rFonts w:ascii="Arial" w:hAnsi="Arial" w:cs="Arial"/>
          <w:color w:val="707070" w:themeColor="background2" w:themeShade="80"/>
          <w:sz w:val="20"/>
          <w:szCs w:val="20"/>
        </w:rPr>
        <w:t>There are no absolute contraindicati</w:t>
      </w:r>
      <w:r w:rsidR="00CA408F">
        <w:rPr>
          <w:rFonts w:ascii="Arial" w:hAnsi="Arial" w:cs="Arial"/>
          <w:color w:val="707070" w:themeColor="background2" w:themeShade="80"/>
          <w:sz w:val="20"/>
          <w:szCs w:val="20"/>
        </w:rPr>
        <w:t>ons to lymphatic intervention</w:t>
      </w:r>
      <w:r w:rsidR="006771AB">
        <w:rPr>
          <w:rFonts w:ascii="Arial" w:hAnsi="Arial" w:cs="Arial"/>
          <w:color w:val="707070" w:themeColor="background2" w:themeShade="80"/>
          <w:sz w:val="20"/>
          <w:szCs w:val="20"/>
        </w:rPr>
        <w:t>.</w:t>
      </w:r>
      <w:r w:rsidR="00CA408F">
        <w:rPr>
          <w:rFonts w:ascii="Arial" w:hAnsi="Arial" w:cs="Arial"/>
          <w:color w:val="707070" w:themeColor="background2" w:themeShade="80"/>
          <w:sz w:val="20"/>
          <w:szCs w:val="20"/>
        </w:rPr>
        <w:t xml:space="preserve"> </w:t>
      </w:r>
      <w:r w:rsidR="00BA4FE4" w:rsidRPr="009D5CD9">
        <w:rPr>
          <w:rFonts w:ascii="Arial" w:hAnsi="Arial" w:cs="Arial"/>
          <w:color w:val="707070" w:themeColor="background2" w:themeShade="80"/>
          <w:sz w:val="20"/>
          <w:szCs w:val="20"/>
        </w:rPr>
        <w:t xml:space="preserve">These procedures are not widely available at all </w:t>
      </w:r>
      <w:r w:rsidR="006E0024" w:rsidRPr="009D5CD9">
        <w:rPr>
          <w:rFonts w:ascii="Arial" w:hAnsi="Arial" w:cs="Arial"/>
          <w:color w:val="707070" w:themeColor="background2" w:themeShade="80"/>
          <w:sz w:val="20"/>
          <w:szCs w:val="20"/>
        </w:rPr>
        <w:t>centers but</w:t>
      </w:r>
      <w:r w:rsidR="00BA4FE4" w:rsidRPr="009D5CD9">
        <w:rPr>
          <w:rFonts w:ascii="Arial" w:hAnsi="Arial" w:cs="Arial"/>
          <w:color w:val="707070" w:themeColor="background2" w:themeShade="80"/>
          <w:sz w:val="20"/>
          <w:szCs w:val="20"/>
        </w:rPr>
        <w:t xml:space="preserve"> </w:t>
      </w:r>
      <w:r w:rsidR="00317DD9">
        <w:rPr>
          <w:rFonts w:ascii="Arial" w:hAnsi="Arial" w:cs="Arial"/>
          <w:color w:val="707070" w:themeColor="background2" w:themeShade="80"/>
          <w:sz w:val="20"/>
          <w:szCs w:val="20"/>
        </w:rPr>
        <w:t xml:space="preserve">can </w:t>
      </w:r>
      <w:r w:rsidR="00BA4FE4" w:rsidRPr="009D5CD9">
        <w:rPr>
          <w:rFonts w:ascii="Arial" w:hAnsi="Arial" w:cs="Arial"/>
          <w:color w:val="707070" w:themeColor="background2" w:themeShade="80"/>
          <w:sz w:val="20"/>
          <w:szCs w:val="20"/>
        </w:rPr>
        <w:t>play an important role for</w:t>
      </w:r>
      <w:r w:rsidR="00317DD9">
        <w:rPr>
          <w:rFonts w:ascii="Arial" w:hAnsi="Arial" w:cs="Arial"/>
          <w:color w:val="707070" w:themeColor="background2" w:themeShade="80"/>
          <w:sz w:val="20"/>
          <w:szCs w:val="20"/>
        </w:rPr>
        <w:t xml:space="preserve"> some</w:t>
      </w:r>
      <w:r w:rsidR="00BA4FE4" w:rsidRPr="009D5CD9">
        <w:rPr>
          <w:rFonts w:ascii="Arial" w:hAnsi="Arial" w:cs="Arial"/>
          <w:color w:val="707070" w:themeColor="background2" w:themeShade="80"/>
          <w:sz w:val="20"/>
          <w:szCs w:val="20"/>
        </w:rPr>
        <w:t xml:space="preserve"> patients who h</w:t>
      </w:r>
      <w:r w:rsidR="00CA408F">
        <w:rPr>
          <w:rFonts w:ascii="Arial" w:hAnsi="Arial" w:cs="Arial"/>
          <w:color w:val="707070" w:themeColor="background2" w:themeShade="80"/>
          <w:sz w:val="20"/>
          <w:szCs w:val="20"/>
        </w:rPr>
        <w:t>ave failed all other therapies</w:t>
      </w:r>
      <w:r w:rsidR="00800FD4">
        <w:rPr>
          <w:rFonts w:ascii="Arial" w:hAnsi="Arial" w:cs="Arial"/>
          <w:color w:val="707070" w:themeColor="background2" w:themeShade="80"/>
          <w:sz w:val="20"/>
          <w:szCs w:val="20"/>
        </w:rPr>
        <w:t xml:space="preserve"> and </w:t>
      </w:r>
      <w:r w:rsidR="00800FD4" w:rsidRPr="00BA4FE4">
        <w:rPr>
          <w:rFonts w:ascii="Arial" w:hAnsi="Arial" w:cs="Arial"/>
          <w:color w:val="707070" w:themeColor="background2" w:themeShade="80"/>
          <w:sz w:val="20"/>
          <w:szCs w:val="20"/>
        </w:rPr>
        <w:t>may not be ideal candidates for heart transplantation</w:t>
      </w:r>
      <w:r w:rsidR="00CA408F">
        <w:rPr>
          <w:rFonts w:ascii="Arial" w:hAnsi="Arial" w:cs="Arial"/>
          <w:color w:val="707070" w:themeColor="background2" w:themeShade="80"/>
          <w:sz w:val="20"/>
          <w:szCs w:val="20"/>
        </w:rPr>
        <w:t xml:space="preserve">. </w:t>
      </w:r>
      <w:r w:rsidR="00BA4FE4" w:rsidRPr="009D5CD9">
        <w:rPr>
          <w:rFonts w:ascii="Arial" w:hAnsi="Arial" w:cs="Arial"/>
          <w:color w:val="707070" w:themeColor="background2" w:themeShade="80"/>
          <w:sz w:val="20"/>
          <w:szCs w:val="20"/>
        </w:rPr>
        <w:t>The following are relative contraindications or patients in whom lymphatic intervention may be less effective:</w:t>
      </w:r>
    </w:p>
    <w:p w14:paraId="7FE6467B" w14:textId="112627EE" w:rsidR="00545810" w:rsidRPr="00545810" w:rsidRDefault="00545810" w:rsidP="00C94A2B">
      <w:pPr>
        <w:pStyle w:val="ListParagraph"/>
        <w:numPr>
          <w:ilvl w:val="0"/>
          <w:numId w:val="3"/>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Presence of a permanent pacemaker, which may preclude the ability t</w:t>
      </w:r>
      <w:r w:rsidR="00CA408F">
        <w:rPr>
          <w:rFonts w:ascii="Arial" w:hAnsi="Arial" w:cs="Arial"/>
          <w:color w:val="707070" w:themeColor="background2" w:themeShade="80"/>
          <w:sz w:val="20"/>
          <w:szCs w:val="20"/>
        </w:rPr>
        <w:t>o perform MR lymphangiography.</w:t>
      </w:r>
      <w:r w:rsidR="00317DD9">
        <w:rPr>
          <w:rFonts w:ascii="Arial" w:hAnsi="Arial" w:cs="Arial"/>
          <w:color w:val="707070" w:themeColor="background2" w:themeShade="80"/>
          <w:sz w:val="20"/>
          <w:szCs w:val="20"/>
        </w:rPr>
        <w:t xml:space="preserve"> </w:t>
      </w:r>
      <w:r w:rsidR="00CA408F">
        <w:rPr>
          <w:rFonts w:ascii="Arial" w:hAnsi="Arial" w:cs="Arial"/>
          <w:color w:val="707070" w:themeColor="background2" w:themeShade="80"/>
          <w:sz w:val="20"/>
          <w:szCs w:val="20"/>
        </w:rPr>
        <w:t xml:space="preserve">Direct intranodal </w:t>
      </w:r>
      <w:r w:rsidRPr="00545810">
        <w:rPr>
          <w:rFonts w:ascii="Arial" w:hAnsi="Arial" w:cs="Arial"/>
          <w:color w:val="707070" w:themeColor="background2" w:themeShade="80"/>
          <w:sz w:val="20"/>
          <w:szCs w:val="20"/>
        </w:rPr>
        <w:t xml:space="preserve">lymphangiography using iodinated contrast can be performed as an alternative, but is cumbersome  </w:t>
      </w:r>
    </w:p>
    <w:p w14:paraId="402ACF79" w14:textId="77777777" w:rsidR="00545810" w:rsidRPr="00545810" w:rsidRDefault="00545810" w:rsidP="00C94A2B">
      <w:pPr>
        <w:pStyle w:val="ListParagraph"/>
        <w:numPr>
          <w:ilvl w:val="0"/>
          <w:numId w:val="3"/>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Inability to hold anticoagulation for several days post-procedure due to severe thrombotic disease (due to requirement for transabdominal puncture for glue administration)</w:t>
      </w:r>
    </w:p>
    <w:p w14:paraId="45663949" w14:textId="0E4079BD" w:rsidR="00545810" w:rsidRPr="00545810" w:rsidRDefault="00545810" w:rsidP="00C94A2B">
      <w:pPr>
        <w:pStyle w:val="ListParagraph"/>
        <w:numPr>
          <w:ilvl w:val="0"/>
          <w:numId w:val="3"/>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 xml:space="preserve">Pre-existing pancreatic or biliary disease (also due to requirement for transabdominal puncture) </w:t>
      </w:r>
    </w:p>
    <w:p w14:paraId="77E425BB" w14:textId="77777777" w:rsidR="006771AB" w:rsidRDefault="00545810" w:rsidP="00C94A2B">
      <w:pPr>
        <w:pStyle w:val="ListParagraph"/>
        <w:numPr>
          <w:ilvl w:val="0"/>
          <w:numId w:val="3"/>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lastRenderedPageBreak/>
        <w:t xml:space="preserve">Patients who have undergone previous thoracic duct embolization or ligation </w:t>
      </w:r>
    </w:p>
    <w:p w14:paraId="158CCCC6" w14:textId="77777777" w:rsidR="008C0EE8" w:rsidRDefault="008C0EE8" w:rsidP="00C94A2B">
      <w:pPr>
        <w:pStyle w:val="ListParagraph"/>
        <w:numPr>
          <w:ilvl w:val="0"/>
          <w:numId w:val="3"/>
        </w:numPr>
        <w:spacing w:line="240" w:lineRule="exact"/>
        <w:ind w:left="1080" w:hanging="180"/>
        <w:rPr>
          <w:rFonts w:ascii="Arial" w:hAnsi="Arial" w:cs="Arial"/>
          <w:color w:val="707070" w:themeColor="background2" w:themeShade="80"/>
          <w:sz w:val="20"/>
          <w:szCs w:val="20"/>
        </w:rPr>
      </w:pPr>
    </w:p>
    <w:p w14:paraId="408461B0" w14:textId="7781389D" w:rsidR="00BA4FE4" w:rsidRPr="0014532E" w:rsidRDefault="006771AB" w:rsidP="00BB6560">
      <w:pPr>
        <w:spacing w:line="240" w:lineRule="exact"/>
        <w:ind w:left="720"/>
        <w:rPr>
          <w:rFonts w:ascii="Arial" w:hAnsi="Arial" w:cs="Arial"/>
          <w:color w:val="707070" w:themeColor="background2" w:themeShade="80"/>
          <w:sz w:val="20"/>
          <w:szCs w:val="20"/>
        </w:rPr>
      </w:pPr>
      <w:r>
        <w:rPr>
          <w:rFonts w:ascii="Arial" w:hAnsi="Arial" w:cs="Arial"/>
          <w:color w:val="707070" w:themeColor="background2" w:themeShade="80"/>
          <w:sz w:val="20"/>
          <w:szCs w:val="20"/>
        </w:rPr>
        <w:t xml:space="preserve">Lymphatic procedures </w:t>
      </w:r>
      <w:r w:rsidR="00B86C88">
        <w:rPr>
          <w:rFonts w:ascii="Arial" w:hAnsi="Arial" w:cs="Arial"/>
          <w:color w:val="707070" w:themeColor="background2" w:themeShade="80"/>
          <w:sz w:val="20"/>
          <w:szCs w:val="20"/>
        </w:rPr>
        <w:t>are not without</w:t>
      </w:r>
      <w:r>
        <w:rPr>
          <w:rFonts w:ascii="Arial" w:hAnsi="Arial" w:cs="Arial"/>
          <w:color w:val="707070" w:themeColor="background2" w:themeShade="80"/>
          <w:sz w:val="20"/>
          <w:szCs w:val="20"/>
        </w:rPr>
        <w:t xml:space="preserve"> reported </w:t>
      </w:r>
      <w:r w:rsidR="005A24E8">
        <w:rPr>
          <w:rFonts w:ascii="Arial" w:hAnsi="Arial" w:cs="Arial"/>
          <w:color w:val="707070" w:themeColor="background2" w:themeShade="80"/>
          <w:sz w:val="20"/>
          <w:szCs w:val="20"/>
        </w:rPr>
        <w:t>risks</w:t>
      </w:r>
      <w:r w:rsidR="00FC6A57">
        <w:rPr>
          <w:rFonts w:ascii="Arial" w:hAnsi="Arial" w:cs="Arial"/>
          <w:color w:val="707070" w:themeColor="background2" w:themeShade="80"/>
          <w:sz w:val="20"/>
          <w:szCs w:val="20"/>
        </w:rPr>
        <w:t xml:space="preserve">. </w:t>
      </w:r>
      <w:r w:rsidR="00302BB6">
        <w:rPr>
          <w:rFonts w:ascii="Arial" w:hAnsi="Arial" w:cs="Arial"/>
          <w:color w:val="707070" w:themeColor="background2" w:themeShade="80"/>
          <w:sz w:val="20"/>
          <w:szCs w:val="20"/>
        </w:rPr>
        <w:t xml:space="preserve">Reported </w:t>
      </w:r>
      <w:r w:rsidR="00B85E49">
        <w:rPr>
          <w:rFonts w:ascii="Arial" w:hAnsi="Arial" w:cs="Arial"/>
          <w:color w:val="707070" w:themeColor="background2" w:themeShade="80"/>
          <w:sz w:val="20"/>
          <w:szCs w:val="20"/>
        </w:rPr>
        <w:t xml:space="preserve">potential </w:t>
      </w:r>
      <w:r w:rsidR="00302BB6">
        <w:rPr>
          <w:rFonts w:ascii="Arial" w:hAnsi="Arial" w:cs="Arial"/>
          <w:color w:val="707070" w:themeColor="background2" w:themeShade="80"/>
          <w:sz w:val="20"/>
          <w:szCs w:val="20"/>
        </w:rPr>
        <w:t xml:space="preserve">complications </w:t>
      </w:r>
      <w:r w:rsidR="00B86C88">
        <w:rPr>
          <w:rFonts w:ascii="Arial" w:hAnsi="Arial" w:cs="Arial"/>
          <w:color w:val="707070" w:themeColor="background2" w:themeShade="80"/>
          <w:sz w:val="20"/>
          <w:szCs w:val="20"/>
        </w:rPr>
        <w:t>include</w:t>
      </w:r>
      <w:r w:rsidR="00160D28">
        <w:rPr>
          <w:rFonts w:ascii="Arial" w:hAnsi="Arial" w:cs="Arial"/>
          <w:color w:val="707070" w:themeColor="background2" w:themeShade="80"/>
          <w:sz w:val="20"/>
          <w:szCs w:val="20"/>
        </w:rPr>
        <w:t xml:space="preserve"> </w:t>
      </w:r>
      <w:r w:rsidR="00017530">
        <w:rPr>
          <w:rFonts w:ascii="Arial" w:hAnsi="Arial" w:cs="Arial"/>
          <w:color w:val="707070" w:themeColor="background2" w:themeShade="80"/>
          <w:sz w:val="20"/>
          <w:szCs w:val="20"/>
        </w:rPr>
        <w:t xml:space="preserve">transient abdominal pain, </w:t>
      </w:r>
      <w:r w:rsidR="00136836">
        <w:rPr>
          <w:rFonts w:ascii="Arial" w:hAnsi="Arial" w:cs="Arial"/>
          <w:color w:val="707070" w:themeColor="background2" w:themeShade="80"/>
          <w:sz w:val="20"/>
          <w:szCs w:val="20"/>
        </w:rPr>
        <w:t xml:space="preserve">hemoperitoneum, transaminase elevation, bile duct spasm/obstruction, radiation-induced skin burns, </w:t>
      </w:r>
      <w:r w:rsidR="00072EEA">
        <w:rPr>
          <w:rFonts w:ascii="Arial" w:hAnsi="Arial" w:cs="Arial"/>
          <w:color w:val="707070" w:themeColor="background2" w:themeShade="80"/>
          <w:sz w:val="20"/>
          <w:szCs w:val="20"/>
        </w:rPr>
        <w:t xml:space="preserve">pulmonary emboli of embolic material (potentially leading </w:t>
      </w:r>
      <w:r w:rsidR="00B85E49">
        <w:rPr>
          <w:rFonts w:ascii="Arial" w:hAnsi="Arial" w:cs="Arial"/>
          <w:color w:val="707070" w:themeColor="background2" w:themeShade="80"/>
          <w:sz w:val="20"/>
          <w:szCs w:val="20"/>
        </w:rPr>
        <w:t>to</w:t>
      </w:r>
      <w:r w:rsidR="00072EEA">
        <w:rPr>
          <w:rFonts w:ascii="Arial" w:hAnsi="Arial" w:cs="Arial"/>
          <w:color w:val="707070" w:themeColor="background2" w:themeShade="80"/>
          <w:sz w:val="20"/>
          <w:szCs w:val="20"/>
        </w:rPr>
        <w:t xml:space="preserve"> edema or infarct</w:t>
      </w:r>
      <w:r w:rsidR="00447BB4">
        <w:rPr>
          <w:rFonts w:ascii="Arial" w:hAnsi="Arial" w:cs="Arial"/>
          <w:color w:val="707070" w:themeColor="background2" w:themeShade="80"/>
          <w:sz w:val="20"/>
          <w:szCs w:val="20"/>
        </w:rPr>
        <w:t>)</w:t>
      </w:r>
      <w:r w:rsidR="00072EEA">
        <w:rPr>
          <w:rFonts w:ascii="Arial" w:hAnsi="Arial" w:cs="Arial"/>
          <w:color w:val="707070" w:themeColor="background2" w:themeShade="80"/>
          <w:sz w:val="20"/>
          <w:szCs w:val="20"/>
        </w:rPr>
        <w:t xml:space="preserve">, </w:t>
      </w:r>
      <w:r w:rsidR="00B85E49">
        <w:rPr>
          <w:rFonts w:ascii="Arial" w:hAnsi="Arial" w:cs="Arial"/>
          <w:color w:val="707070" w:themeColor="background2" w:themeShade="80"/>
          <w:sz w:val="20"/>
          <w:szCs w:val="20"/>
        </w:rPr>
        <w:t xml:space="preserve">leg </w:t>
      </w:r>
      <w:r w:rsidR="00072EEA">
        <w:rPr>
          <w:rFonts w:ascii="Arial" w:hAnsi="Arial" w:cs="Arial"/>
          <w:color w:val="707070" w:themeColor="background2" w:themeShade="80"/>
          <w:sz w:val="20"/>
          <w:szCs w:val="20"/>
        </w:rPr>
        <w:t>edema, pneumoperitoneum, stroke</w:t>
      </w:r>
      <w:r w:rsidR="00447BB4">
        <w:rPr>
          <w:rFonts w:ascii="Arial" w:hAnsi="Arial" w:cs="Arial"/>
          <w:color w:val="707070" w:themeColor="background2" w:themeShade="80"/>
          <w:sz w:val="20"/>
          <w:szCs w:val="20"/>
        </w:rPr>
        <w:t xml:space="preserve"> from embolic material</w:t>
      </w:r>
      <w:r w:rsidR="00072EEA">
        <w:rPr>
          <w:rFonts w:ascii="Arial" w:hAnsi="Arial" w:cs="Arial"/>
          <w:color w:val="707070" w:themeColor="background2" w:themeShade="80"/>
          <w:sz w:val="20"/>
          <w:szCs w:val="20"/>
        </w:rPr>
        <w:t xml:space="preserve">, and uncommonly </w:t>
      </w:r>
      <w:r w:rsidR="00B86C88">
        <w:rPr>
          <w:rFonts w:ascii="Arial" w:hAnsi="Arial" w:cs="Arial"/>
          <w:color w:val="707070" w:themeColor="background2" w:themeShade="80"/>
          <w:sz w:val="20"/>
          <w:szCs w:val="20"/>
        </w:rPr>
        <w:t>pancreatitis and</w:t>
      </w:r>
      <w:r w:rsidR="00831422">
        <w:rPr>
          <w:rFonts w:ascii="Arial" w:hAnsi="Arial" w:cs="Arial"/>
          <w:color w:val="707070" w:themeColor="background2" w:themeShade="80"/>
          <w:sz w:val="20"/>
          <w:szCs w:val="20"/>
        </w:rPr>
        <w:t>/or</w:t>
      </w:r>
      <w:r w:rsidR="00B86C88">
        <w:rPr>
          <w:rFonts w:ascii="Arial" w:hAnsi="Arial" w:cs="Arial"/>
          <w:color w:val="707070" w:themeColor="background2" w:themeShade="80"/>
          <w:sz w:val="20"/>
          <w:szCs w:val="20"/>
        </w:rPr>
        <w:t xml:space="preserve"> biliary peritonitis.</w:t>
      </w:r>
      <w:r w:rsidR="00BA4FE4" w:rsidRPr="0014532E">
        <w:rPr>
          <w:rFonts w:ascii="Arial" w:hAnsi="Arial" w:cs="Arial"/>
          <w:color w:val="707070" w:themeColor="background2" w:themeShade="80"/>
          <w:sz w:val="20"/>
          <w:szCs w:val="20"/>
        </w:rPr>
        <w:br/>
      </w:r>
    </w:p>
    <w:p w14:paraId="6BDFC382" w14:textId="483C6357" w:rsidR="00BA4FE4" w:rsidRPr="00545810" w:rsidRDefault="00BA4FE4" w:rsidP="00C94A2B">
      <w:pPr>
        <w:pStyle w:val="ListParagraph"/>
        <w:numPr>
          <w:ilvl w:val="1"/>
          <w:numId w:val="1"/>
        </w:numPr>
        <w:spacing w:line="240" w:lineRule="exact"/>
        <w:ind w:left="720"/>
        <w:rPr>
          <w:rFonts w:ascii="Arial" w:hAnsi="Arial" w:cs="Arial"/>
          <w:color w:val="707070" w:themeColor="background2" w:themeShade="80"/>
          <w:sz w:val="20"/>
          <w:szCs w:val="20"/>
        </w:rPr>
      </w:pPr>
      <w:r w:rsidRPr="00BA4FE4">
        <w:rPr>
          <w:rFonts w:ascii="Arial" w:hAnsi="Arial" w:cs="Arial"/>
          <w:color w:val="707070" w:themeColor="background2" w:themeShade="80"/>
          <w:sz w:val="20"/>
        </w:rPr>
        <w:t>Expert consultation</w:t>
      </w:r>
    </w:p>
    <w:p w14:paraId="54714B04" w14:textId="77777777" w:rsidR="00545810" w:rsidRPr="00545810" w:rsidRDefault="00545810"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Dietician to help with initiation of high-protein diet and supplements</w:t>
      </w:r>
    </w:p>
    <w:p w14:paraId="1957CADF" w14:textId="417D94E6" w:rsidR="00545810" w:rsidRPr="00545810" w:rsidRDefault="00545810"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Hepatology/Gastroenterology with expertise in Fontan population and PLE</w:t>
      </w:r>
    </w:p>
    <w:p w14:paraId="33046A3A" w14:textId="09C61193" w:rsidR="00545810" w:rsidRDefault="00545810"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Electrophysiology (EP) for patient with concern for contributing sinus node dysfunction, arrhythmia and/or significant atrioventricular desynchrony</w:t>
      </w:r>
    </w:p>
    <w:p w14:paraId="5FBF5210" w14:textId="4FBD3CB5" w:rsidR="00D00493" w:rsidRPr="00D00493" w:rsidRDefault="00545810"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545810">
        <w:rPr>
          <w:rFonts w:ascii="Arial" w:hAnsi="Arial" w:cs="Arial"/>
          <w:color w:val="707070" w:themeColor="background2" w:themeShade="80"/>
          <w:sz w:val="20"/>
          <w:szCs w:val="20"/>
        </w:rPr>
        <w:t xml:space="preserve">Consider Heart failure/transplant team referral as per ACTION document </w:t>
      </w:r>
      <w:r w:rsidRPr="00545810">
        <w:rPr>
          <w:rFonts w:ascii="Arial" w:hAnsi="Arial" w:cs="Arial"/>
          <w:i/>
          <w:color w:val="707070" w:themeColor="background2" w:themeShade="80"/>
          <w:sz w:val="20"/>
          <w:szCs w:val="20"/>
        </w:rPr>
        <w:t>“Considerations for Advanced Heart Failure Consultation in Fontan Pati</w:t>
      </w:r>
      <w:r w:rsidR="00D00493">
        <w:rPr>
          <w:rFonts w:ascii="Arial" w:hAnsi="Arial" w:cs="Arial"/>
          <w:i/>
          <w:color w:val="707070" w:themeColor="background2" w:themeShade="80"/>
          <w:sz w:val="20"/>
          <w:szCs w:val="20"/>
        </w:rPr>
        <w:t>ents”</w:t>
      </w:r>
    </w:p>
    <w:p w14:paraId="14AE5F9A" w14:textId="1B8801BA" w:rsidR="00D00493" w:rsidRDefault="00D00493" w:rsidP="00BB6560">
      <w:pPr>
        <w:pStyle w:val="ListParagraph"/>
        <w:spacing w:line="240" w:lineRule="exact"/>
        <w:ind w:left="1440"/>
        <w:rPr>
          <w:rFonts w:ascii="Arial" w:hAnsi="Arial" w:cs="Arial"/>
          <w:color w:val="707070" w:themeColor="background2" w:themeShade="80"/>
          <w:sz w:val="20"/>
          <w:szCs w:val="20"/>
        </w:rPr>
      </w:pPr>
    </w:p>
    <w:p w14:paraId="1F30A361" w14:textId="124C9CDE" w:rsidR="00DA2565" w:rsidRDefault="00C94A2B" w:rsidP="00DF3523">
      <w:pPr>
        <w:ind w:left="360"/>
        <w:rPr>
          <w:rFonts w:ascii="Arial" w:hAnsi="Arial" w:cs="Arial"/>
          <w:b/>
          <w:color w:val="707070" w:themeColor="background2" w:themeShade="80"/>
          <w:spacing w:val="20"/>
          <w:sz w:val="20"/>
          <w:szCs w:val="20"/>
        </w:rPr>
      </w:pPr>
      <w:r>
        <w:rPr>
          <w:noProof/>
        </w:rPr>
        <w:drawing>
          <wp:inline distT="0" distB="0" distL="0" distR="0" wp14:anchorId="202ABA61" wp14:editId="3AE99A80">
            <wp:extent cx="5943600" cy="3343275"/>
            <wp:effectExtent l="0" t="0" r="0" b="9525"/>
            <wp:docPr id="8405635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63514"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3343275"/>
                    </a:xfrm>
                    <a:prstGeom prst="rect">
                      <a:avLst/>
                    </a:prstGeom>
                  </pic:spPr>
                </pic:pic>
              </a:graphicData>
            </a:graphic>
          </wp:inline>
        </w:drawing>
      </w:r>
    </w:p>
    <w:p w14:paraId="24CA2713" w14:textId="77777777" w:rsidR="00DF3523" w:rsidRPr="00DA2565" w:rsidRDefault="00DF3523" w:rsidP="00BB6560">
      <w:pPr>
        <w:rPr>
          <w:rFonts w:ascii="Arial" w:hAnsi="Arial" w:cs="Arial"/>
          <w:b/>
          <w:color w:val="707070" w:themeColor="background2" w:themeShade="80"/>
          <w:spacing w:val="20"/>
          <w:sz w:val="20"/>
          <w:szCs w:val="20"/>
        </w:rPr>
      </w:pPr>
    </w:p>
    <w:p w14:paraId="17BA3294" w14:textId="17BDCD89" w:rsidR="002254C1" w:rsidRPr="00D00493" w:rsidRDefault="00D00493" w:rsidP="00C94A2B">
      <w:pPr>
        <w:pStyle w:val="ListParagraph"/>
        <w:numPr>
          <w:ilvl w:val="0"/>
          <w:numId w:val="1"/>
        </w:numPr>
        <w:spacing w:line="240" w:lineRule="exact"/>
        <w:ind w:left="360"/>
        <w:rPr>
          <w:rFonts w:ascii="Arial" w:hAnsi="Arial" w:cs="Arial"/>
          <w:b/>
          <w:color w:val="707070" w:themeColor="background2" w:themeShade="80"/>
          <w:spacing w:val="20"/>
          <w:sz w:val="16"/>
          <w:szCs w:val="20"/>
        </w:rPr>
      </w:pPr>
      <w:r w:rsidRPr="00D00493">
        <w:rPr>
          <w:rFonts w:ascii="Arial" w:hAnsi="Arial" w:cs="Arial"/>
          <w:b/>
          <w:color w:val="707070" w:themeColor="background2" w:themeShade="80"/>
          <w:sz w:val="20"/>
          <w:szCs w:val="20"/>
        </w:rPr>
        <w:t>Management of PLE</w:t>
      </w:r>
      <w:r w:rsidR="002254C1">
        <w:rPr>
          <w:rFonts w:ascii="Arial" w:hAnsi="Arial" w:cs="Arial"/>
          <w:b/>
          <w:color w:val="707070" w:themeColor="background2" w:themeShade="80"/>
          <w:sz w:val="20"/>
          <w:szCs w:val="20"/>
        </w:rPr>
        <w:br/>
      </w:r>
      <w:r w:rsidR="002254C1" w:rsidRPr="00D00493">
        <w:rPr>
          <w:rFonts w:ascii="Arial" w:hAnsi="Arial" w:cs="Arial"/>
          <w:color w:val="707070" w:themeColor="background2" w:themeShade="80"/>
          <w:sz w:val="20"/>
        </w:rPr>
        <w:t xml:space="preserve">Management of PLE includes evaluation for cardiac issues that may be amendable to intervention to optimize Fontan physiology and titration of medical therapy to treat related symptoms. Patients should be evaluated for anatomical lesions that can be treated via cardiac catheterization, dilation/stent of obstruction or embolization of significant collaterals. Patients should also be evaluated for potential venothrombosis given increased risk, particularly in patients with prior history or low ATIII levels. Some patients with identified lymphatic abnormalities may be candidates for lymphatic based interventions. Any rhythm disturbances, such as tachyarrhythmias or bradycardia, should prompt discussion with EP regarding possible anti-arrhythmic or pacing therapy. Medical management focuses on reducing volume overload, improving nutrition, and reduce recurrence. </w:t>
      </w:r>
      <w:r w:rsidR="002254C1" w:rsidRPr="00D00493">
        <w:rPr>
          <w:rFonts w:ascii="Arial" w:hAnsi="Arial" w:cs="Arial"/>
          <w:bCs/>
          <w:color w:val="707070" w:themeColor="background2" w:themeShade="80"/>
          <w:sz w:val="20"/>
        </w:rPr>
        <w:t>Risk and benefits of potential diagnostic evaluations and treatments presented in this guideline should be discussed in a multi-disciplinary fashion with involvement of the patient and family.</w:t>
      </w:r>
      <w:r w:rsidR="002254C1" w:rsidRPr="00D00493">
        <w:rPr>
          <w:rFonts w:ascii="Arial" w:hAnsi="Arial" w:cs="Arial"/>
          <w:bCs/>
          <w:color w:val="707070" w:themeColor="background2" w:themeShade="80"/>
          <w:sz w:val="20"/>
        </w:rPr>
        <w:br/>
      </w:r>
      <w:r w:rsidR="002254C1" w:rsidRPr="00D00493">
        <w:rPr>
          <w:rFonts w:ascii="Arial" w:hAnsi="Arial" w:cs="Arial"/>
          <w:bCs/>
          <w:color w:val="707070" w:themeColor="background2" w:themeShade="80"/>
          <w:sz w:val="20"/>
        </w:rPr>
        <w:br/>
      </w:r>
      <w:r w:rsidR="002254C1" w:rsidRPr="00D00493">
        <w:rPr>
          <w:rFonts w:ascii="Arial" w:hAnsi="Arial" w:cs="Arial"/>
          <w:bCs/>
          <w:color w:val="707070" w:themeColor="background2" w:themeShade="80"/>
          <w:sz w:val="20"/>
        </w:rPr>
        <w:lastRenderedPageBreak/>
        <w:t>Depending on severity of symptoms and PLE at presentation, patients may require hospital admission for medical therapy, particularly in patients requiring intravenous therapy.</w:t>
      </w:r>
      <w:r w:rsidR="001D76EE">
        <w:rPr>
          <w:rFonts w:ascii="Arial" w:hAnsi="Arial" w:cs="Arial"/>
          <w:bCs/>
          <w:color w:val="707070" w:themeColor="background2" w:themeShade="80"/>
          <w:sz w:val="20"/>
        </w:rPr>
        <w:t xml:space="preserve"> </w:t>
      </w:r>
    </w:p>
    <w:p w14:paraId="5D33143B" w14:textId="3E7C387B" w:rsidR="002254C1" w:rsidRPr="00D00493" w:rsidRDefault="002254C1" w:rsidP="002254C1">
      <w:pPr>
        <w:pStyle w:val="ListParagraph"/>
        <w:spacing w:line="240" w:lineRule="exact"/>
        <w:rPr>
          <w:rFonts w:ascii="Arial" w:hAnsi="Arial" w:cs="Arial"/>
          <w:b/>
          <w:color w:val="707070" w:themeColor="background2" w:themeShade="80"/>
          <w:spacing w:val="20"/>
          <w:sz w:val="20"/>
          <w:szCs w:val="20"/>
        </w:rPr>
      </w:pPr>
    </w:p>
    <w:p w14:paraId="0B9C0BAE" w14:textId="1E4EE376" w:rsidR="002254C1" w:rsidRPr="00D00493" w:rsidRDefault="002254C1" w:rsidP="00C94A2B">
      <w:pPr>
        <w:pStyle w:val="ListParagraph"/>
        <w:numPr>
          <w:ilvl w:val="1"/>
          <w:numId w:val="1"/>
        </w:numPr>
        <w:spacing w:line="240" w:lineRule="exact"/>
        <w:ind w:left="720"/>
        <w:rPr>
          <w:rFonts w:ascii="Arial" w:hAnsi="Arial" w:cs="Arial"/>
          <w:b/>
          <w:color w:val="707070" w:themeColor="background2" w:themeShade="80"/>
          <w:spacing w:val="20"/>
          <w:sz w:val="20"/>
          <w:szCs w:val="20"/>
        </w:rPr>
      </w:pPr>
      <w:r w:rsidRPr="00D00493">
        <w:rPr>
          <w:rFonts w:ascii="Arial" w:hAnsi="Arial" w:cs="Arial"/>
          <w:bCs/>
          <w:color w:val="707070" w:themeColor="background2" w:themeShade="80"/>
          <w:sz w:val="20"/>
          <w:szCs w:val="20"/>
        </w:rPr>
        <w:t>Dietary interventions (in consultation with experience dietician)</w:t>
      </w:r>
    </w:p>
    <w:p w14:paraId="7C78C96E" w14:textId="0C2071EE" w:rsidR="002254C1" w:rsidRPr="00D00493" w:rsidRDefault="002254C1" w:rsidP="00C94A2B">
      <w:pPr>
        <w:pStyle w:val="ListParagraph"/>
        <w:numPr>
          <w:ilvl w:val="2"/>
          <w:numId w:val="1"/>
        </w:numPr>
        <w:spacing w:line="240" w:lineRule="exact"/>
        <w:ind w:left="1080" w:hanging="180"/>
        <w:rPr>
          <w:rFonts w:ascii="Arial" w:hAnsi="Arial" w:cs="Arial"/>
          <w:b/>
          <w:color w:val="707070" w:themeColor="background2" w:themeShade="80"/>
          <w:spacing w:val="20"/>
          <w:sz w:val="20"/>
          <w:szCs w:val="20"/>
        </w:rPr>
      </w:pPr>
      <w:r w:rsidRPr="00D00493">
        <w:rPr>
          <w:rFonts w:ascii="Arial" w:hAnsi="Arial" w:cs="Arial"/>
          <w:bCs/>
          <w:color w:val="707070" w:themeColor="background2" w:themeShade="80"/>
          <w:sz w:val="20"/>
          <w:szCs w:val="20"/>
        </w:rPr>
        <w:t>High-protein diet appropriate for age</w:t>
      </w:r>
    </w:p>
    <w:p w14:paraId="40D47C25" w14:textId="5C8962B0" w:rsidR="002254C1" w:rsidRPr="00D00493" w:rsidRDefault="002254C1" w:rsidP="00C94A2B">
      <w:pPr>
        <w:pStyle w:val="ListParagraph"/>
        <w:numPr>
          <w:ilvl w:val="2"/>
          <w:numId w:val="1"/>
        </w:numPr>
        <w:spacing w:line="240" w:lineRule="exact"/>
        <w:ind w:left="1080" w:hanging="180"/>
        <w:rPr>
          <w:rFonts w:ascii="Arial" w:hAnsi="Arial" w:cs="Arial"/>
          <w:b/>
          <w:color w:val="707070" w:themeColor="background2" w:themeShade="80"/>
          <w:spacing w:val="20"/>
          <w:sz w:val="20"/>
          <w:szCs w:val="20"/>
        </w:rPr>
      </w:pPr>
      <w:r w:rsidRPr="00D00493">
        <w:rPr>
          <w:rFonts w:ascii="Arial" w:hAnsi="Arial" w:cs="Arial"/>
          <w:bCs/>
          <w:color w:val="707070" w:themeColor="background2" w:themeShade="80"/>
          <w:sz w:val="20"/>
          <w:szCs w:val="20"/>
        </w:rPr>
        <w:t xml:space="preserve">Consider </w:t>
      </w:r>
      <w:r w:rsidRPr="00D00493">
        <w:rPr>
          <w:rFonts w:ascii="Arial" w:hAnsi="Arial" w:cs="Arial"/>
          <w:color w:val="707070" w:themeColor="background2" w:themeShade="80"/>
          <w:sz w:val="20"/>
          <w:szCs w:val="20"/>
        </w:rPr>
        <w:t>low long chain triglyceride (LCT) diet supplemented with medium chain triglycerides (MCT) may be beneficial if lymphatic abnormalities are contri</w:t>
      </w:r>
      <w:r w:rsidR="004A1FBF">
        <w:rPr>
          <w:rFonts w:ascii="Arial" w:hAnsi="Arial" w:cs="Arial"/>
          <w:color w:val="707070" w:themeColor="background2" w:themeShade="80"/>
          <w:sz w:val="20"/>
          <w:szCs w:val="20"/>
        </w:rPr>
        <w:t xml:space="preserve">buting to PLE pathophysiology. </w:t>
      </w:r>
      <w:r w:rsidRPr="00D00493">
        <w:rPr>
          <w:rFonts w:ascii="Arial" w:hAnsi="Arial" w:cs="Arial"/>
          <w:color w:val="707070" w:themeColor="background2" w:themeShade="80"/>
          <w:sz w:val="20"/>
          <w:szCs w:val="20"/>
        </w:rPr>
        <w:t>Decreasing LCT intake theoretically decreases lymphatic flow and pressure which is thought to contribute to decreased los</w:t>
      </w:r>
      <w:r>
        <w:rPr>
          <w:rFonts w:ascii="Arial" w:hAnsi="Arial" w:cs="Arial"/>
          <w:color w:val="707070" w:themeColor="background2" w:themeShade="80"/>
          <w:sz w:val="20"/>
          <w:szCs w:val="20"/>
        </w:rPr>
        <w:t xml:space="preserve">ses via </w:t>
      </w:r>
      <w:r w:rsidRPr="00D00493">
        <w:rPr>
          <w:rFonts w:ascii="Arial" w:hAnsi="Arial" w:cs="Arial"/>
          <w:color w:val="707070" w:themeColor="background2" w:themeShade="80"/>
          <w:sz w:val="20"/>
          <w:szCs w:val="20"/>
        </w:rPr>
        <w:t>gastrointestinal tract. When this therapy is followed, it is crucial to provide adequate LCT, 2-4% of total calories, to prevent essential fatty acid deficiency. A serum triene-to-tetraene ratio can be obtained to assess for essential fatty acid deficiency.</w:t>
      </w:r>
    </w:p>
    <w:p w14:paraId="32AB6298" w14:textId="638CEFF2" w:rsidR="002254C1" w:rsidRPr="00D00493" w:rsidRDefault="002254C1" w:rsidP="00C94A2B">
      <w:pPr>
        <w:pStyle w:val="ListParagraph"/>
        <w:numPr>
          <w:ilvl w:val="2"/>
          <w:numId w:val="1"/>
        </w:numPr>
        <w:spacing w:line="240" w:lineRule="exact"/>
        <w:ind w:left="1080" w:hanging="180"/>
        <w:rPr>
          <w:rFonts w:ascii="Arial" w:hAnsi="Arial" w:cs="Arial"/>
          <w:b/>
          <w:color w:val="707070" w:themeColor="background2" w:themeShade="80"/>
          <w:spacing w:val="20"/>
          <w:sz w:val="20"/>
          <w:szCs w:val="20"/>
        </w:rPr>
      </w:pPr>
      <w:r w:rsidRPr="00D00493">
        <w:rPr>
          <w:rFonts w:ascii="Arial" w:hAnsi="Arial" w:cs="Arial"/>
          <w:color w:val="707070" w:themeColor="background2" w:themeShade="80"/>
          <w:sz w:val="20"/>
          <w:szCs w:val="20"/>
        </w:rPr>
        <w:t>Consider supplementation of fat-soluble vitamins in water-soluble forms to account for increased losses via the gastrointestinal tract.</w:t>
      </w:r>
    </w:p>
    <w:p w14:paraId="73F2422C" w14:textId="5C98CEC0" w:rsidR="002254C1" w:rsidRPr="00D00493" w:rsidRDefault="002254C1" w:rsidP="00C94A2B">
      <w:pPr>
        <w:pStyle w:val="ListParagraph"/>
        <w:numPr>
          <w:ilvl w:val="2"/>
          <w:numId w:val="1"/>
        </w:numPr>
        <w:spacing w:line="240" w:lineRule="exact"/>
        <w:ind w:left="1080" w:hanging="180"/>
        <w:rPr>
          <w:rFonts w:ascii="Arial" w:hAnsi="Arial" w:cs="Arial"/>
          <w:b/>
          <w:color w:val="707070" w:themeColor="background2" w:themeShade="80"/>
          <w:spacing w:val="20"/>
          <w:sz w:val="20"/>
          <w:szCs w:val="20"/>
        </w:rPr>
      </w:pPr>
      <w:r w:rsidRPr="00D00493">
        <w:rPr>
          <w:rFonts w:ascii="Arial" w:hAnsi="Arial" w:cs="Arial"/>
          <w:color w:val="707070" w:themeColor="background2" w:themeShade="80"/>
          <w:sz w:val="20"/>
          <w:szCs w:val="20"/>
        </w:rPr>
        <w:t>In severe refractory cases, may require period of bowel rest and concurrent total parental nutrition (TPN) support</w:t>
      </w:r>
    </w:p>
    <w:p w14:paraId="2FE193D6" w14:textId="38818B0A" w:rsidR="002254C1" w:rsidRPr="009A2233" w:rsidRDefault="002254C1" w:rsidP="00C94A2B">
      <w:pPr>
        <w:pStyle w:val="ListParagraph"/>
        <w:numPr>
          <w:ilvl w:val="2"/>
          <w:numId w:val="1"/>
        </w:numPr>
        <w:spacing w:line="240" w:lineRule="exact"/>
        <w:ind w:left="1080" w:hanging="180"/>
        <w:rPr>
          <w:rFonts w:ascii="Arial" w:hAnsi="Arial" w:cs="Arial"/>
          <w:b/>
          <w:color w:val="707070" w:themeColor="background2" w:themeShade="80"/>
          <w:spacing w:val="20"/>
          <w:sz w:val="20"/>
          <w:szCs w:val="20"/>
        </w:rPr>
      </w:pPr>
      <w:r w:rsidRPr="00D00493">
        <w:rPr>
          <w:rFonts w:ascii="Arial" w:hAnsi="Arial" w:cs="Arial"/>
          <w:color w:val="707070" w:themeColor="background2" w:themeShade="80"/>
          <w:sz w:val="20"/>
          <w:szCs w:val="20"/>
        </w:rPr>
        <w:t>Discuss with team (including cardiac catheterization and interventional radiologist) referral for lymphatic intervention</w:t>
      </w:r>
      <w:r>
        <w:rPr>
          <w:rFonts w:ascii="Arial" w:hAnsi="Arial" w:cs="Arial"/>
          <w:color w:val="707070" w:themeColor="background2" w:themeShade="80"/>
          <w:sz w:val="20"/>
          <w:szCs w:val="20"/>
        </w:rPr>
        <w:br/>
      </w:r>
    </w:p>
    <w:p w14:paraId="7BF14A56" w14:textId="5CBFDC84" w:rsidR="002254C1" w:rsidRPr="001333C3" w:rsidRDefault="001333C3" w:rsidP="00C94A2B">
      <w:pPr>
        <w:pStyle w:val="ListParagraph"/>
        <w:numPr>
          <w:ilvl w:val="1"/>
          <w:numId w:val="1"/>
        </w:numPr>
        <w:spacing w:line="240" w:lineRule="exact"/>
        <w:ind w:left="720"/>
        <w:rPr>
          <w:rFonts w:ascii="Arial" w:hAnsi="Arial" w:cs="Arial"/>
          <w:b/>
          <w:color w:val="707070" w:themeColor="background2" w:themeShade="80"/>
          <w:spacing w:val="20"/>
          <w:sz w:val="20"/>
          <w:szCs w:val="20"/>
        </w:rPr>
      </w:pPr>
      <w:r>
        <w:rPr>
          <w:noProof/>
        </w:rPr>
        <w:drawing>
          <wp:anchor distT="0" distB="0" distL="114300" distR="114300" simplePos="0" relativeHeight="251675648" behindDoc="0" locked="0" layoutInCell="1" allowOverlap="1" wp14:anchorId="66AF4EEB" wp14:editId="4B260093">
            <wp:simplePos x="0" y="0"/>
            <wp:positionH relativeFrom="page">
              <wp:posOffset>790041</wp:posOffset>
            </wp:positionH>
            <wp:positionV relativeFrom="paragraph">
              <wp:posOffset>234975</wp:posOffset>
            </wp:positionV>
            <wp:extent cx="5943600" cy="3343275"/>
            <wp:effectExtent l="0" t="0" r="0" b="9525"/>
            <wp:wrapTopAndBottom/>
            <wp:docPr id="54443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366"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14:sizeRelH relativeFrom="page">
              <wp14:pctWidth>0</wp14:pctWidth>
            </wp14:sizeRelH>
            <wp14:sizeRelV relativeFrom="page">
              <wp14:pctHeight>0</wp14:pctHeight>
            </wp14:sizeRelV>
          </wp:anchor>
        </w:drawing>
      </w:r>
      <w:r w:rsidR="002254C1" w:rsidRPr="009A2233">
        <w:rPr>
          <w:rFonts w:ascii="Arial" w:hAnsi="Arial" w:cs="Arial"/>
          <w:color w:val="707070" w:themeColor="background2" w:themeShade="80"/>
          <w:sz w:val="20"/>
          <w:szCs w:val="20"/>
        </w:rPr>
        <w:t>Medications</w:t>
      </w:r>
    </w:p>
    <w:p w14:paraId="45ADA9E7" w14:textId="4B4263EF" w:rsidR="001333C3" w:rsidRPr="004E6BBE" w:rsidRDefault="001333C3" w:rsidP="001333C3">
      <w:pPr>
        <w:pStyle w:val="ListParagraph"/>
        <w:spacing w:line="240" w:lineRule="exact"/>
        <w:rPr>
          <w:rFonts w:ascii="Arial" w:hAnsi="Arial" w:cs="Arial"/>
          <w:b/>
          <w:color w:val="707070" w:themeColor="background2" w:themeShade="80"/>
          <w:spacing w:val="20"/>
          <w:sz w:val="20"/>
          <w:szCs w:val="20"/>
        </w:rPr>
      </w:pPr>
    </w:p>
    <w:p w14:paraId="6D142EEA" w14:textId="59924158" w:rsidR="00C32898" w:rsidRPr="001C0CF1" w:rsidRDefault="00C32898" w:rsidP="001C0CF1">
      <w:pPr>
        <w:spacing w:line="240" w:lineRule="exact"/>
        <w:rPr>
          <w:rFonts w:ascii="Arial" w:hAnsi="Arial" w:cs="Arial"/>
          <w:b/>
          <w:color w:val="707070" w:themeColor="background2" w:themeShade="80"/>
          <w:spacing w:val="20"/>
          <w:sz w:val="20"/>
          <w:szCs w:val="20"/>
        </w:rPr>
      </w:pPr>
    </w:p>
    <w:p w14:paraId="742FE4E3" w14:textId="4E9449BF" w:rsidR="002254C1" w:rsidRPr="00BB6560" w:rsidRDefault="002254C1" w:rsidP="00BB6560">
      <w:pPr>
        <w:spacing w:line="240" w:lineRule="exact"/>
        <w:ind w:left="360"/>
        <w:rPr>
          <w:rFonts w:ascii="Arial" w:hAnsi="Arial" w:cs="Arial"/>
          <w:bCs/>
          <w:i/>
          <w:iCs/>
          <w:color w:val="707070" w:themeColor="background2" w:themeShade="80"/>
          <w:sz w:val="18"/>
          <w:szCs w:val="18"/>
        </w:rPr>
      </w:pPr>
      <w:r w:rsidRPr="00BB6560">
        <w:rPr>
          <w:rFonts w:ascii="Arial" w:hAnsi="Arial" w:cs="Arial"/>
          <w:bCs/>
          <w:i/>
          <w:iCs/>
          <w:color w:val="707070" w:themeColor="background2" w:themeShade="80"/>
          <w:sz w:val="18"/>
          <w:szCs w:val="18"/>
        </w:rPr>
        <w:t>*See suggested dosing in table below. If patient does not respond to first line therapy, discuss second-line therapy treatment strategy with advanced heart function support team.</w:t>
      </w:r>
    </w:p>
    <w:p w14:paraId="6C6CCA47" w14:textId="41FEEE09" w:rsidR="002254C1" w:rsidRDefault="002254C1" w:rsidP="00BB6560">
      <w:pPr>
        <w:ind w:left="360"/>
        <w:rPr>
          <w:rFonts w:ascii="Arial" w:hAnsi="Arial" w:cs="Arial"/>
          <w:bCs/>
          <w:i/>
          <w:iCs/>
          <w:color w:val="707070" w:themeColor="background2" w:themeShade="80"/>
          <w:sz w:val="18"/>
          <w:szCs w:val="18"/>
        </w:rPr>
      </w:pPr>
      <w:r w:rsidRPr="00BB6560">
        <w:rPr>
          <w:rFonts w:ascii="Arial" w:hAnsi="Arial" w:cs="Arial"/>
          <w:bCs/>
          <w:i/>
          <w:iCs/>
          <w:color w:val="707070" w:themeColor="background2" w:themeShade="80"/>
          <w:sz w:val="18"/>
          <w:szCs w:val="18"/>
        </w:rPr>
        <w:br/>
        <w:t>**</w:t>
      </w:r>
      <w:r w:rsidRPr="00BB6560">
        <w:rPr>
          <w:rFonts w:ascii="Arial" w:hAnsi="Arial" w:cs="Arial"/>
          <w:bCs/>
          <w:i/>
          <w:iCs/>
          <w:color w:val="707070" w:themeColor="background2" w:themeShade="80"/>
          <w:sz w:val="18"/>
          <w:szCs w:val="18"/>
          <w:u w:val="single"/>
        </w:rPr>
        <w:t>Anticoagulation note:</w:t>
      </w:r>
      <w:r w:rsidRPr="00BB6560">
        <w:rPr>
          <w:rFonts w:ascii="Arial" w:hAnsi="Arial" w:cs="Arial"/>
          <w:bCs/>
          <w:i/>
          <w:iCs/>
          <w:color w:val="707070" w:themeColor="background2" w:themeShade="80"/>
          <w:sz w:val="18"/>
          <w:szCs w:val="18"/>
        </w:rPr>
        <w:t xml:space="preserve"> Warfarin levels may be affected by albumin infusions given changes in protein bound drug amounts. Caution should be applied in adjusting warfarin dosing in patients on warfarin receiving intermittent albumin infusions. </w:t>
      </w:r>
    </w:p>
    <w:p w14:paraId="0D125214" w14:textId="77777777" w:rsidR="00AE3D29" w:rsidRDefault="00AE3D29" w:rsidP="00BB6560">
      <w:pPr>
        <w:ind w:left="360"/>
        <w:rPr>
          <w:rFonts w:ascii="Arial" w:hAnsi="Arial" w:cs="Arial"/>
          <w:bCs/>
          <w:i/>
          <w:iCs/>
          <w:color w:val="707070" w:themeColor="background2" w:themeShade="80"/>
          <w:sz w:val="18"/>
          <w:szCs w:val="18"/>
        </w:rPr>
      </w:pPr>
    </w:p>
    <w:p w14:paraId="3EB659DB" w14:textId="77777777" w:rsidR="00AE3D29" w:rsidRDefault="00AE3D29" w:rsidP="00BB6560">
      <w:pPr>
        <w:ind w:left="360"/>
        <w:rPr>
          <w:rFonts w:ascii="Arial" w:hAnsi="Arial" w:cs="Arial"/>
          <w:bCs/>
          <w:i/>
          <w:iCs/>
          <w:color w:val="707070" w:themeColor="background2" w:themeShade="80"/>
          <w:sz w:val="18"/>
          <w:szCs w:val="18"/>
        </w:rPr>
      </w:pPr>
    </w:p>
    <w:p w14:paraId="0626F888" w14:textId="77777777" w:rsidR="00AE3D29" w:rsidRDefault="00AE3D29" w:rsidP="00BB6560">
      <w:pPr>
        <w:ind w:left="360"/>
        <w:rPr>
          <w:rFonts w:ascii="Arial" w:hAnsi="Arial" w:cs="Arial"/>
          <w:bCs/>
          <w:i/>
          <w:iCs/>
          <w:color w:val="707070" w:themeColor="background2" w:themeShade="80"/>
          <w:sz w:val="18"/>
          <w:szCs w:val="18"/>
        </w:rPr>
      </w:pPr>
    </w:p>
    <w:p w14:paraId="45AB385F" w14:textId="77777777" w:rsidR="001C0CF1" w:rsidRPr="00BB6560" w:rsidRDefault="001C0CF1" w:rsidP="00BB6560">
      <w:pPr>
        <w:ind w:left="360"/>
        <w:rPr>
          <w:rFonts w:ascii="Arial" w:hAnsi="Arial" w:cs="Arial"/>
          <w:bCs/>
          <w:i/>
          <w:iCs/>
          <w:color w:val="707070" w:themeColor="background2" w:themeShade="80"/>
          <w:sz w:val="18"/>
          <w:szCs w:val="18"/>
        </w:rPr>
      </w:pPr>
    </w:p>
    <w:p w14:paraId="249902B3" w14:textId="2D0C8CF0" w:rsidR="002254C1" w:rsidRDefault="002254C1" w:rsidP="002254C1">
      <w:pPr>
        <w:rPr>
          <w:rFonts w:cstheme="minorHAnsi"/>
          <w:bCs/>
        </w:rPr>
      </w:pPr>
    </w:p>
    <w:tbl>
      <w:tblPr>
        <w:tblStyle w:val="GridTable4-Accent1"/>
        <w:tblW w:w="5053" w:type="pct"/>
        <w:tblInd w:w="355" w:type="dxa"/>
        <w:tblBorders>
          <w:top w:val="single" w:sz="4" w:space="0" w:color="ACA9D1" w:themeColor="accent6" w:themeTint="99"/>
          <w:left w:val="single" w:sz="4" w:space="0" w:color="ACA9D1" w:themeColor="accent6" w:themeTint="99"/>
          <w:bottom w:val="single" w:sz="4" w:space="0" w:color="ACA9D1" w:themeColor="accent6" w:themeTint="99"/>
          <w:right w:val="single" w:sz="4" w:space="0" w:color="ACA9D1" w:themeColor="accent6" w:themeTint="99"/>
          <w:insideH w:val="single" w:sz="4" w:space="0" w:color="ACA9D1" w:themeColor="accent6" w:themeTint="99"/>
          <w:insideV w:val="single" w:sz="4" w:space="0" w:color="ACA9D1" w:themeColor="accent6" w:themeTint="99"/>
        </w:tblBorders>
        <w:tblLook w:val="04A0" w:firstRow="1" w:lastRow="0" w:firstColumn="1" w:lastColumn="0" w:noHBand="0" w:noVBand="1"/>
      </w:tblPr>
      <w:tblGrid>
        <w:gridCol w:w="1770"/>
        <w:gridCol w:w="2718"/>
        <w:gridCol w:w="4961"/>
      </w:tblGrid>
      <w:tr w:rsidR="00BB6560" w:rsidRPr="00F938D4" w14:paraId="19B318DA" w14:textId="77777777" w:rsidTr="00BB6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7670B3" w:themeFill="accent6"/>
          </w:tcPr>
          <w:p w14:paraId="1D095F14" w14:textId="77777777" w:rsidR="002254C1" w:rsidRPr="00BB6560" w:rsidRDefault="002254C1" w:rsidP="008355FB">
            <w:pPr>
              <w:rPr>
                <w:rFonts w:ascii="Arial" w:hAnsi="Arial" w:cs="Arial"/>
                <w:b w:val="0"/>
                <w:bCs w:val="0"/>
                <w:sz w:val="20"/>
                <w:szCs w:val="20"/>
              </w:rPr>
            </w:pPr>
            <w:r w:rsidRPr="00BB6560">
              <w:rPr>
                <w:rFonts w:ascii="Arial" w:hAnsi="Arial" w:cs="Arial"/>
                <w:b w:val="0"/>
                <w:bCs w:val="0"/>
                <w:sz w:val="20"/>
                <w:szCs w:val="20"/>
              </w:rPr>
              <w:t>Medication</w:t>
            </w:r>
          </w:p>
        </w:tc>
        <w:tc>
          <w:tcPr>
            <w:tcW w:w="1488" w:type="pct"/>
            <w:shd w:val="clear" w:color="auto" w:fill="7670B3" w:themeFill="accent6"/>
          </w:tcPr>
          <w:p w14:paraId="0B9131C6" w14:textId="77777777" w:rsidR="002254C1" w:rsidRPr="00BB6560" w:rsidRDefault="002254C1" w:rsidP="008355FB">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B6560">
              <w:rPr>
                <w:rFonts w:ascii="Arial" w:hAnsi="Arial" w:cs="Arial"/>
                <w:b w:val="0"/>
                <w:bCs w:val="0"/>
                <w:sz w:val="20"/>
                <w:szCs w:val="20"/>
              </w:rPr>
              <w:t>Dosing Recommendations</w:t>
            </w:r>
          </w:p>
        </w:tc>
        <w:tc>
          <w:tcPr>
            <w:tcW w:w="2675" w:type="pct"/>
            <w:shd w:val="clear" w:color="auto" w:fill="7670B3" w:themeFill="accent6"/>
          </w:tcPr>
          <w:p w14:paraId="5C2F328C" w14:textId="77777777" w:rsidR="002254C1" w:rsidRPr="00BB6560" w:rsidRDefault="002254C1" w:rsidP="008355FB">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BB6560">
              <w:rPr>
                <w:rFonts w:ascii="Arial" w:hAnsi="Arial" w:cs="Arial"/>
                <w:b w:val="0"/>
                <w:bCs w:val="0"/>
                <w:sz w:val="20"/>
                <w:szCs w:val="20"/>
              </w:rPr>
              <w:t>Implications of therapy/clinical pearls</w:t>
            </w:r>
          </w:p>
        </w:tc>
      </w:tr>
      <w:tr w:rsidR="00BB6560" w:rsidRPr="00F938D4" w14:paraId="0B170D42"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06CD1D91"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Albumin</w:t>
            </w:r>
            <w:r w:rsidRPr="00BB6560">
              <w:rPr>
                <w:rFonts w:ascii="Arial" w:hAnsi="Arial" w:cs="Arial"/>
                <w:color w:val="333333"/>
                <w:sz w:val="16"/>
                <w:szCs w:val="16"/>
                <w:vertAlign w:val="superscript"/>
              </w:rPr>
              <w:t>1</w:t>
            </w:r>
          </w:p>
        </w:tc>
        <w:tc>
          <w:tcPr>
            <w:tcW w:w="1488" w:type="pct"/>
            <w:shd w:val="clear" w:color="auto" w:fill="E3E2EF" w:themeFill="accent6" w:themeFillTint="33"/>
          </w:tcPr>
          <w:p w14:paraId="05F40A43" w14:textId="77777777" w:rsidR="002254C1" w:rsidRPr="00BB6560" w:rsidRDefault="002254C1" w:rsidP="00C94A2B">
            <w:pPr>
              <w:pStyle w:val="ListParagraph"/>
              <w:numPr>
                <w:ilvl w:val="4"/>
                <w:numId w:val="14"/>
              </w:numPr>
              <w:ind w:left="106" w:right="-15" w:hanging="3240"/>
              <w:cnfStyle w:val="000000100000" w:firstRow="0" w:lastRow="0" w:firstColumn="0" w:lastColumn="0" w:oddVBand="0" w:evenVBand="0" w:oddHBand="1" w:evenHBand="0" w:firstRowFirstColumn="0" w:firstRowLastColumn="0" w:lastRowFirstColumn="0" w:lastRowLastColumn="0"/>
              <w:rPr>
                <w:rFonts w:ascii="Arial" w:hAnsi="Arial" w:cs="Arial"/>
                <w:b/>
                <w:color w:val="333333"/>
                <w:sz w:val="16"/>
                <w:szCs w:val="16"/>
              </w:rPr>
            </w:pPr>
            <w:r w:rsidRPr="00BB6560">
              <w:rPr>
                <w:rFonts w:ascii="Arial" w:hAnsi="Arial" w:cs="Arial"/>
                <w:color w:val="333333"/>
                <w:sz w:val="16"/>
                <w:szCs w:val="16"/>
              </w:rPr>
              <w:t>1-4g/kg/d divided every 4-6 hours with a goal of increasing serum albumin to ≥3 g/dL.</w:t>
            </w:r>
          </w:p>
          <w:p w14:paraId="7E3A63DC"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p>
        </w:tc>
        <w:tc>
          <w:tcPr>
            <w:tcW w:w="2675" w:type="pct"/>
            <w:shd w:val="clear" w:color="auto" w:fill="E3E2EF" w:themeFill="accent6" w:themeFillTint="33"/>
          </w:tcPr>
          <w:p w14:paraId="2115DF9E" w14:textId="77777777" w:rsidR="002254C1" w:rsidRPr="00BB6560" w:rsidRDefault="002254C1" w:rsidP="00C94A2B">
            <w:pPr>
              <w:pStyle w:val="ListParagraph"/>
              <w:numPr>
                <w:ilvl w:val="0"/>
                <w:numId w:val="6"/>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Use 25% product</w:t>
            </w:r>
          </w:p>
          <w:p w14:paraId="5F306B11" w14:textId="77777777" w:rsidR="002254C1" w:rsidRPr="00BB6560" w:rsidRDefault="002254C1" w:rsidP="00C94A2B">
            <w:pPr>
              <w:pStyle w:val="ListParagraph"/>
              <w:numPr>
                <w:ilvl w:val="0"/>
                <w:numId w:val="6"/>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Follow albumin infusion with administration of diuretic such as loop diuretic</w:t>
            </w:r>
          </w:p>
          <w:p w14:paraId="5F884DA1" w14:textId="77777777" w:rsidR="002254C1" w:rsidRPr="00BB6560" w:rsidRDefault="002254C1" w:rsidP="00C94A2B">
            <w:pPr>
              <w:pStyle w:val="ListParagraph"/>
              <w:numPr>
                <w:ilvl w:val="0"/>
                <w:numId w:val="6"/>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Central access not required</w:t>
            </w:r>
          </w:p>
        </w:tc>
      </w:tr>
      <w:tr w:rsidR="00BB6560" w:rsidRPr="00F938D4" w14:paraId="0D9B577A"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0E644272"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Aspirin</w:t>
            </w:r>
          </w:p>
        </w:tc>
        <w:tc>
          <w:tcPr>
            <w:tcW w:w="1488" w:type="pct"/>
          </w:tcPr>
          <w:p w14:paraId="3755BBFF" w14:textId="77777777" w:rsidR="002254C1" w:rsidRPr="00BB6560" w:rsidRDefault="002254C1"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Daily 81mg po dosing</w:t>
            </w:r>
          </w:p>
        </w:tc>
        <w:tc>
          <w:tcPr>
            <w:tcW w:w="2675" w:type="pct"/>
          </w:tcPr>
          <w:p w14:paraId="6F1A0265" w14:textId="77777777" w:rsidR="002254C1" w:rsidRPr="00BB6560" w:rsidRDefault="002254C1" w:rsidP="00C94A2B">
            <w:pPr>
              <w:pStyle w:val="ListParagraph"/>
              <w:numPr>
                <w:ilvl w:val="0"/>
                <w:numId w:val="6"/>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Due to increased thrombosis risk</w:t>
            </w:r>
          </w:p>
          <w:p w14:paraId="53DAD7F3" w14:textId="77777777" w:rsidR="002254C1" w:rsidRPr="00BB6560" w:rsidRDefault="002254C1" w:rsidP="00C94A2B">
            <w:pPr>
              <w:pStyle w:val="ListParagraph"/>
              <w:numPr>
                <w:ilvl w:val="0"/>
                <w:numId w:val="6"/>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If thrombosis, consider change to SQ LMWH or warfarin</w:t>
            </w:r>
          </w:p>
        </w:tc>
      </w:tr>
      <w:tr w:rsidR="00BB6560" w:rsidRPr="00F938D4" w14:paraId="4D10C09A"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1B77A0C4" w14:textId="77777777" w:rsidR="002254C1" w:rsidRPr="00BB6560" w:rsidRDefault="002254C1" w:rsidP="008355FB">
            <w:pPr>
              <w:tabs>
                <w:tab w:val="left" w:pos="1326"/>
              </w:tabs>
              <w:rPr>
                <w:rFonts w:ascii="Arial" w:hAnsi="Arial" w:cs="Arial"/>
                <w:color w:val="333333"/>
                <w:sz w:val="16"/>
                <w:szCs w:val="16"/>
              </w:rPr>
            </w:pPr>
            <w:r w:rsidRPr="00BB6560">
              <w:rPr>
                <w:rFonts w:ascii="Arial" w:hAnsi="Arial" w:cs="Arial"/>
                <w:color w:val="333333"/>
                <w:sz w:val="16"/>
                <w:szCs w:val="16"/>
              </w:rPr>
              <w:t>Budesonide</w:t>
            </w:r>
            <w:r w:rsidRPr="00BB6560">
              <w:rPr>
                <w:rFonts w:ascii="Arial" w:hAnsi="Arial" w:cs="Arial"/>
                <w:color w:val="333333"/>
                <w:sz w:val="16"/>
                <w:szCs w:val="16"/>
              </w:rPr>
              <w:tab/>
            </w:r>
          </w:p>
        </w:tc>
        <w:tc>
          <w:tcPr>
            <w:tcW w:w="1488" w:type="pct"/>
            <w:shd w:val="clear" w:color="auto" w:fill="E3E2EF" w:themeFill="accent6" w:themeFillTint="33"/>
          </w:tcPr>
          <w:p w14:paraId="575F3094"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Oral delayed release capsule:</w:t>
            </w:r>
          </w:p>
          <w:p w14:paraId="79D79280" w14:textId="77777777" w:rsidR="002254C1" w:rsidRPr="00BB6560" w:rsidRDefault="002254C1" w:rsidP="00C94A2B">
            <w:pPr>
              <w:pStyle w:val="ListParagraph"/>
              <w:numPr>
                <w:ilvl w:val="0"/>
                <w:numId w:val="9"/>
              </w:numPr>
              <w:ind w:left="193" w:hanging="193"/>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Children less than 7 years: starting dose 6 mg once daily</w:t>
            </w:r>
            <w:r w:rsidRPr="00BB6560">
              <w:rPr>
                <w:rFonts w:ascii="Arial" w:hAnsi="Arial" w:cs="Arial"/>
                <w:color w:val="333333"/>
                <w:sz w:val="16"/>
                <w:szCs w:val="16"/>
                <w:vertAlign w:val="superscript"/>
              </w:rPr>
              <w:t>2,3</w:t>
            </w:r>
          </w:p>
          <w:p w14:paraId="5E1C388D" w14:textId="77777777" w:rsidR="002254C1" w:rsidRPr="00BB6560" w:rsidRDefault="002254C1" w:rsidP="00C94A2B">
            <w:pPr>
              <w:pStyle w:val="ListParagraph"/>
              <w:numPr>
                <w:ilvl w:val="0"/>
                <w:numId w:val="9"/>
              </w:numPr>
              <w:ind w:left="193" w:hanging="193"/>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Children greater than or equal to 7 years: starting dose 9 mg once daily or 3 mg Q8H</w:t>
            </w:r>
            <w:r w:rsidRPr="00BB6560">
              <w:rPr>
                <w:rFonts w:ascii="Arial" w:hAnsi="Arial" w:cs="Arial"/>
                <w:color w:val="333333"/>
                <w:sz w:val="16"/>
                <w:szCs w:val="16"/>
                <w:vertAlign w:val="superscript"/>
              </w:rPr>
              <w:t>4,5</w:t>
            </w:r>
          </w:p>
        </w:tc>
        <w:tc>
          <w:tcPr>
            <w:tcW w:w="2675" w:type="pct"/>
            <w:shd w:val="clear" w:color="auto" w:fill="E3E2EF" w:themeFill="accent6" w:themeFillTint="33"/>
          </w:tcPr>
          <w:p w14:paraId="7BB26365" w14:textId="77777777" w:rsidR="002254C1" w:rsidRPr="00BB6560" w:rsidRDefault="002254C1" w:rsidP="00C94A2B">
            <w:pPr>
              <w:pStyle w:val="ListParagraph"/>
              <w:numPr>
                <w:ilvl w:val="0"/>
                <w:numId w:val="6"/>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Consider “pulse” steroid course of 3-5 days with first or mild PLE episode (some patients may require longer term therapy with taper)</w:t>
            </w:r>
          </w:p>
          <w:p w14:paraId="4C89E9F1" w14:textId="5EFDA2C3" w:rsidR="002254C1" w:rsidRDefault="002254C1" w:rsidP="00C94A2B">
            <w:pPr>
              <w:pStyle w:val="ListParagraph"/>
              <w:numPr>
                <w:ilvl w:val="0"/>
                <w:numId w:val="6"/>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If prolonged therapy: after clinical improvement and albumin greater than 3 g/dL for at least </w:t>
            </w:r>
            <w:r w:rsidR="00AD0D87">
              <w:rPr>
                <w:rFonts w:ascii="Arial" w:hAnsi="Arial" w:cs="Arial"/>
                <w:color w:val="333333"/>
                <w:sz w:val="16"/>
                <w:szCs w:val="16"/>
              </w:rPr>
              <w:t>1-3</w:t>
            </w:r>
            <w:r w:rsidRPr="00BB6560">
              <w:rPr>
                <w:rFonts w:ascii="Arial" w:hAnsi="Arial" w:cs="Arial"/>
                <w:color w:val="333333"/>
                <w:sz w:val="16"/>
                <w:szCs w:val="16"/>
              </w:rPr>
              <w:t xml:space="preserve"> months, then consider wean over several weeks to 3 mg once daily or every other day with goal albumin greater than 2.5 g/dL. Consider completely tapering off in patients </w:t>
            </w:r>
            <w:r w:rsidR="00A052A3">
              <w:rPr>
                <w:rFonts w:ascii="Arial" w:hAnsi="Arial" w:cs="Arial"/>
                <w:color w:val="333333"/>
                <w:sz w:val="16"/>
                <w:szCs w:val="16"/>
              </w:rPr>
              <w:t xml:space="preserve">after augmenting other therapies and/or </w:t>
            </w:r>
            <w:r w:rsidRPr="00BB6560">
              <w:rPr>
                <w:rFonts w:ascii="Arial" w:hAnsi="Arial" w:cs="Arial"/>
                <w:color w:val="333333"/>
                <w:sz w:val="16"/>
                <w:szCs w:val="16"/>
              </w:rPr>
              <w:t>with significant side effects.</w:t>
            </w:r>
          </w:p>
          <w:p w14:paraId="059C024C" w14:textId="72CBACF1" w:rsidR="00A052A3" w:rsidRPr="00BB6560" w:rsidRDefault="00A052A3" w:rsidP="00C94A2B">
            <w:pPr>
              <w:pStyle w:val="ListParagraph"/>
              <w:numPr>
                <w:ilvl w:val="0"/>
                <w:numId w:val="6"/>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Pr>
                <w:rFonts w:ascii="Arial" w:hAnsi="Arial" w:cs="Arial"/>
                <w:color w:val="333333"/>
                <w:sz w:val="16"/>
                <w:szCs w:val="16"/>
              </w:rPr>
              <w:t>Prolonged therapy</w:t>
            </w:r>
            <w:r w:rsidR="006C57F9">
              <w:rPr>
                <w:rFonts w:ascii="Arial" w:hAnsi="Arial" w:cs="Arial"/>
                <w:color w:val="333333"/>
                <w:sz w:val="16"/>
                <w:szCs w:val="16"/>
              </w:rPr>
              <w:t xml:space="preserve"> increases risk of acquired adrenal insufficiency. </w:t>
            </w:r>
          </w:p>
        </w:tc>
      </w:tr>
      <w:tr w:rsidR="00BB6560" w:rsidRPr="00F938D4" w14:paraId="74B26AF6" w14:textId="77777777" w:rsidTr="00BB6560">
        <w:tc>
          <w:tcPr>
            <w:cnfStyle w:val="001000000000" w:firstRow="0" w:lastRow="0" w:firstColumn="1" w:lastColumn="0" w:oddVBand="0" w:evenVBand="0" w:oddHBand="0" w:evenHBand="0" w:firstRowFirstColumn="0" w:firstRowLastColumn="0" w:lastRowFirstColumn="0" w:lastRowLastColumn="0"/>
            <w:tcW w:w="837" w:type="pct"/>
            <w:shd w:val="clear" w:color="auto" w:fill="auto"/>
          </w:tcPr>
          <w:p w14:paraId="5F26E2C6" w14:textId="12A3248A" w:rsidR="008B0504" w:rsidRPr="00BB6560" w:rsidRDefault="008B0504" w:rsidP="008355FB">
            <w:pPr>
              <w:rPr>
                <w:rFonts w:ascii="Arial" w:hAnsi="Arial" w:cs="Arial"/>
                <w:color w:val="333333"/>
                <w:sz w:val="16"/>
                <w:szCs w:val="16"/>
              </w:rPr>
            </w:pPr>
            <w:r w:rsidRPr="00BB6560">
              <w:rPr>
                <w:rFonts w:ascii="Arial" w:hAnsi="Arial" w:cs="Arial"/>
                <w:color w:val="333333"/>
                <w:sz w:val="16"/>
                <w:szCs w:val="16"/>
              </w:rPr>
              <w:t>Dapagliflozin</w:t>
            </w:r>
            <w:r w:rsidR="001E16CF" w:rsidRPr="00BB6560">
              <w:rPr>
                <w:rFonts w:ascii="Arial" w:hAnsi="Arial" w:cs="Arial"/>
                <w:color w:val="333333"/>
                <w:sz w:val="16"/>
                <w:szCs w:val="16"/>
              </w:rPr>
              <w:t xml:space="preserve"> (or </w:t>
            </w:r>
            <w:r w:rsidR="00BD7DDB" w:rsidRPr="00BB6560">
              <w:rPr>
                <w:rFonts w:ascii="Arial" w:hAnsi="Arial" w:cs="Arial"/>
                <w:color w:val="333333"/>
                <w:sz w:val="16"/>
                <w:szCs w:val="16"/>
              </w:rPr>
              <w:t>E</w:t>
            </w:r>
            <w:r w:rsidR="001E16CF" w:rsidRPr="00BB6560">
              <w:rPr>
                <w:rFonts w:ascii="Arial" w:hAnsi="Arial" w:cs="Arial"/>
                <w:color w:val="333333"/>
                <w:sz w:val="16"/>
                <w:szCs w:val="16"/>
              </w:rPr>
              <w:t>mpag</w:t>
            </w:r>
            <w:r w:rsidR="008D68D3" w:rsidRPr="00BB6560">
              <w:rPr>
                <w:rFonts w:ascii="Arial" w:hAnsi="Arial" w:cs="Arial"/>
                <w:color w:val="333333"/>
                <w:sz w:val="16"/>
                <w:szCs w:val="16"/>
              </w:rPr>
              <w:t>liflozin)</w:t>
            </w:r>
          </w:p>
        </w:tc>
        <w:tc>
          <w:tcPr>
            <w:tcW w:w="1488" w:type="pct"/>
            <w:shd w:val="clear" w:color="auto" w:fill="auto"/>
          </w:tcPr>
          <w:p w14:paraId="7E20903F" w14:textId="77777777" w:rsidR="008B0504" w:rsidRPr="00BB6560" w:rsidRDefault="003D302F"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&lt;50kg:</w:t>
            </w:r>
          </w:p>
          <w:p w14:paraId="5FFDFD70" w14:textId="77777777" w:rsidR="003D302F" w:rsidRPr="00BB6560" w:rsidRDefault="003D302F"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Dapa </w:t>
            </w:r>
            <w:r w:rsidR="00BD7DDB" w:rsidRPr="00BB6560">
              <w:rPr>
                <w:rFonts w:ascii="Arial" w:hAnsi="Arial" w:cs="Arial"/>
                <w:color w:val="333333"/>
                <w:sz w:val="16"/>
                <w:szCs w:val="16"/>
              </w:rPr>
              <w:t>0.1mg/kg/dose daily</w:t>
            </w:r>
          </w:p>
          <w:p w14:paraId="1BA71A14" w14:textId="77777777" w:rsidR="00BD7DDB" w:rsidRPr="00BB6560" w:rsidRDefault="00BD7DDB"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≥50Kg:</w:t>
            </w:r>
          </w:p>
          <w:p w14:paraId="2F959E61" w14:textId="77777777" w:rsidR="00BD7DDB" w:rsidRPr="00BB6560" w:rsidRDefault="00BD7DDB"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Dapa 5-10mg (max 10mg) daily</w:t>
            </w:r>
          </w:p>
          <w:p w14:paraId="71D6B8F1" w14:textId="37758396" w:rsidR="00BD7DDB" w:rsidRPr="00BB6560" w:rsidRDefault="00BD7DDB"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Empa</w:t>
            </w:r>
            <w:r w:rsidR="0087669E" w:rsidRPr="00BB6560">
              <w:rPr>
                <w:rFonts w:ascii="Arial" w:hAnsi="Arial" w:cs="Arial"/>
                <w:color w:val="333333"/>
                <w:sz w:val="16"/>
                <w:szCs w:val="16"/>
              </w:rPr>
              <w:t xml:space="preserve"> 5-10mg (max 10mg) daily</w:t>
            </w:r>
          </w:p>
        </w:tc>
        <w:tc>
          <w:tcPr>
            <w:tcW w:w="2675" w:type="pct"/>
            <w:shd w:val="clear" w:color="auto" w:fill="auto"/>
          </w:tcPr>
          <w:p w14:paraId="3643540D" w14:textId="3DCC5101" w:rsidR="006701F5" w:rsidRPr="00BB6560" w:rsidRDefault="006701F5" w:rsidP="00C94A2B">
            <w:pPr>
              <w:pStyle w:val="ListParagraph"/>
              <w:numPr>
                <w:ilvl w:val="0"/>
                <w:numId w:val="7"/>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Mixed report of efficacy for PLE but widely used as first line</w:t>
            </w:r>
            <w:r w:rsidR="0095436B" w:rsidRPr="00BB6560">
              <w:rPr>
                <w:rFonts w:ascii="Arial" w:hAnsi="Arial" w:cs="Arial"/>
                <w:color w:val="333333"/>
                <w:sz w:val="16"/>
                <w:szCs w:val="16"/>
              </w:rPr>
              <w:t xml:space="preserve"> clinically</w:t>
            </w:r>
          </w:p>
          <w:p w14:paraId="1EE17944" w14:textId="4E47DF03" w:rsidR="008D68D3" w:rsidRPr="00BB6560" w:rsidRDefault="006701F5" w:rsidP="00C94A2B">
            <w:pPr>
              <w:pStyle w:val="ListParagraph"/>
              <w:numPr>
                <w:ilvl w:val="0"/>
                <w:numId w:val="7"/>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Possible side effects of UTI and/or peritoneal infections</w:t>
            </w:r>
          </w:p>
          <w:p w14:paraId="5581EEC9" w14:textId="3D185A4E" w:rsidR="008B0504" w:rsidRPr="00BB6560" w:rsidRDefault="008D68D3" w:rsidP="00C94A2B">
            <w:pPr>
              <w:pStyle w:val="ListParagraph"/>
              <w:numPr>
                <w:ilvl w:val="0"/>
                <w:numId w:val="7"/>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SGLT2i must be </w:t>
            </w:r>
            <w:r w:rsidR="0055136D">
              <w:rPr>
                <w:rFonts w:ascii="Arial" w:hAnsi="Arial" w:cs="Arial"/>
                <w:color w:val="333333"/>
                <w:sz w:val="16"/>
                <w:szCs w:val="16"/>
              </w:rPr>
              <w:t>held</w:t>
            </w:r>
            <w:r w:rsidRPr="00BB6560">
              <w:rPr>
                <w:rFonts w:ascii="Arial" w:hAnsi="Arial" w:cs="Arial"/>
                <w:color w:val="333333"/>
                <w:sz w:val="16"/>
                <w:szCs w:val="16"/>
              </w:rPr>
              <w:t xml:space="preserve"> at least 24-72 hours prior to planned NPO</w:t>
            </w:r>
            <w:r w:rsidR="0055136D">
              <w:rPr>
                <w:rFonts w:ascii="Arial" w:hAnsi="Arial" w:cs="Arial"/>
                <w:color w:val="333333"/>
                <w:sz w:val="16"/>
                <w:szCs w:val="16"/>
              </w:rPr>
              <w:t xml:space="preserve"> to avoid risk of ketoacidosis</w:t>
            </w:r>
          </w:p>
        </w:tc>
      </w:tr>
      <w:tr w:rsidR="00BB6560" w:rsidRPr="00F938D4" w14:paraId="5AB5C67A"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16B9A71E"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Dopamine</w:t>
            </w:r>
            <w:r w:rsidRPr="00BB6560">
              <w:rPr>
                <w:rFonts w:ascii="Arial" w:hAnsi="Arial" w:cs="Arial"/>
                <w:color w:val="333333"/>
                <w:sz w:val="16"/>
                <w:szCs w:val="16"/>
                <w:vertAlign w:val="superscript"/>
              </w:rPr>
              <w:t>6</w:t>
            </w:r>
          </w:p>
        </w:tc>
        <w:tc>
          <w:tcPr>
            <w:tcW w:w="1488" w:type="pct"/>
            <w:shd w:val="clear" w:color="auto" w:fill="E3E2EF" w:themeFill="accent6" w:themeFillTint="33"/>
          </w:tcPr>
          <w:p w14:paraId="6B4CF533"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IV: 3-5 mcg/kg/min starting dose</w:t>
            </w:r>
          </w:p>
        </w:tc>
        <w:tc>
          <w:tcPr>
            <w:tcW w:w="2675" w:type="pct"/>
            <w:shd w:val="clear" w:color="auto" w:fill="E3E2EF" w:themeFill="accent6" w:themeFillTint="33"/>
          </w:tcPr>
          <w:p w14:paraId="0267946D" w14:textId="77777777" w:rsidR="002254C1" w:rsidRPr="00BB6560" w:rsidRDefault="002254C1" w:rsidP="00C94A2B">
            <w:pPr>
              <w:pStyle w:val="ListParagraph"/>
              <w:numPr>
                <w:ilvl w:val="0"/>
                <w:numId w:val="7"/>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May provide benefit outside of improving cardiac function, chronotropy and/or mesenteric blood flow</w:t>
            </w:r>
          </w:p>
        </w:tc>
      </w:tr>
      <w:tr w:rsidR="00BB6560" w:rsidRPr="00F938D4" w14:paraId="3F4A542C"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0A8C2EF6"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Dobutamine</w:t>
            </w:r>
          </w:p>
        </w:tc>
        <w:tc>
          <w:tcPr>
            <w:tcW w:w="1488" w:type="pct"/>
          </w:tcPr>
          <w:p w14:paraId="3EF2486B" w14:textId="77777777" w:rsidR="002254C1" w:rsidRPr="00BB6560" w:rsidRDefault="002254C1"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IV: 0.5-1 mcg/kg/min starting dose </w:t>
            </w:r>
          </w:p>
        </w:tc>
        <w:tc>
          <w:tcPr>
            <w:tcW w:w="2675" w:type="pct"/>
          </w:tcPr>
          <w:p w14:paraId="6FD0FB6C" w14:textId="77777777" w:rsidR="002254C1" w:rsidRPr="00BB6560" w:rsidRDefault="002254C1" w:rsidP="00C94A2B">
            <w:pPr>
              <w:pStyle w:val="ListParagraph"/>
              <w:numPr>
                <w:ilvl w:val="0"/>
                <w:numId w:val="7"/>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Often used as bridge to heart transplant</w:t>
            </w:r>
          </w:p>
        </w:tc>
      </w:tr>
      <w:tr w:rsidR="00BB6560" w:rsidRPr="00F938D4" w14:paraId="70F47270"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218BF23B"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Furosemide</w:t>
            </w:r>
          </w:p>
        </w:tc>
        <w:tc>
          <w:tcPr>
            <w:tcW w:w="1488" w:type="pct"/>
            <w:shd w:val="clear" w:color="auto" w:fill="E3E2EF" w:themeFill="accent6" w:themeFillTint="33"/>
          </w:tcPr>
          <w:p w14:paraId="10D87789" w14:textId="77777777" w:rsidR="002254C1" w:rsidRPr="00BB6560" w:rsidRDefault="002254C1" w:rsidP="00C94A2B">
            <w:pPr>
              <w:pStyle w:val="ListParagraph"/>
              <w:numPr>
                <w:ilvl w:val="0"/>
                <w:numId w:val="9"/>
              </w:numPr>
              <w:ind w:left="193" w:hanging="256"/>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IV: 0.5-2mg/kg/dose children, 20-40mg adolescents starting dose</w:t>
            </w:r>
          </w:p>
          <w:p w14:paraId="5B6E7BCA" w14:textId="77777777" w:rsidR="002254C1" w:rsidRPr="00BB6560" w:rsidRDefault="002254C1" w:rsidP="00C94A2B">
            <w:pPr>
              <w:pStyle w:val="ListParagraph"/>
              <w:numPr>
                <w:ilvl w:val="0"/>
                <w:numId w:val="9"/>
              </w:numPr>
              <w:ind w:left="193" w:hanging="256"/>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PO: 0.2-2mg/kg/dose children, 20-40mg adolescents </w:t>
            </w:r>
          </w:p>
          <w:p w14:paraId="388FD6FD" w14:textId="77777777" w:rsidR="002254C1" w:rsidRPr="00BB6560" w:rsidRDefault="002254C1" w:rsidP="00C94A2B">
            <w:pPr>
              <w:pStyle w:val="ListParagraph"/>
              <w:numPr>
                <w:ilvl w:val="0"/>
                <w:numId w:val="9"/>
              </w:numPr>
              <w:ind w:left="193" w:hanging="256"/>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Q6-24 hour dosing</w:t>
            </w:r>
          </w:p>
          <w:p w14:paraId="01378340" w14:textId="77777777" w:rsidR="002254C1" w:rsidRPr="00BB6560" w:rsidRDefault="002254C1" w:rsidP="00C94A2B">
            <w:pPr>
              <w:pStyle w:val="ListParagraph"/>
              <w:numPr>
                <w:ilvl w:val="0"/>
                <w:numId w:val="9"/>
              </w:numPr>
              <w:ind w:left="193" w:hanging="256"/>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2 mg/kg/day reported in PLE (route unspecified)</w:t>
            </w:r>
            <w:r w:rsidRPr="00BB6560">
              <w:rPr>
                <w:rFonts w:ascii="Arial" w:hAnsi="Arial" w:cs="Arial"/>
                <w:color w:val="333333"/>
                <w:sz w:val="16"/>
                <w:szCs w:val="16"/>
                <w:vertAlign w:val="superscript"/>
              </w:rPr>
              <w:t>7</w:t>
            </w:r>
          </w:p>
        </w:tc>
        <w:tc>
          <w:tcPr>
            <w:tcW w:w="2675" w:type="pct"/>
            <w:shd w:val="clear" w:color="auto" w:fill="E3E2EF" w:themeFill="accent6" w:themeFillTint="33"/>
          </w:tcPr>
          <w:p w14:paraId="49B2F1D6" w14:textId="77777777" w:rsidR="002254C1" w:rsidRPr="00BB6560" w:rsidRDefault="002254C1" w:rsidP="00C94A2B">
            <w:pPr>
              <w:pStyle w:val="ListParagraph"/>
              <w:numPr>
                <w:ilvl w:val="0"/>
                <w:numId w:val="7"/>
              </w:numPr>
              <w:ind w:left="346"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Titrate dose and frequency to effect. Gradually decrease frequency and dose to minimal effect dose. </w:t>
            </w:r>
          </w:p>
        </w:tc>
      </w:tr>
      <w:tr w:rsidR="00BB6560" w:rsidRPr="00F938D4" w14:paraId="0672D2C0"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6CD713DE"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Heparin (UFH)</w:t>
            </w:r>
            <w:r w:rsidRPr="00BB6560">
              <w:rPr>
                <w:rFonts w:ascii="Arial" w:hAnsi="Arial" w:cs="Arial"/>
                <w:color w:val="333333"/>
                <w:sz w:val="16"/>
                <w:szCs w:val="16"/>
                <w:vertAlign w:val="superscript"/>
              </w:rPr>
              <w:t>8,9,10</w:t>
            </w:r>
          </w:p>
        </w:tc>
        <w:tc>
          <w:tcPr>
            <w:tcW w:w="1488" w:type="pct"/>
          </w:tcPr>
          <w:p w14:paraId="12221C1E" w14:textId="77777777" w:rsidR="002254C1" w:rsidRPr="00BB6560" w:rsidRDefault="002254C1"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SQ: 5000 units/m2/day divided BID</w:t>
            </w:r>
          </w:p>
        </w:tc>
        <w:tc>
          <w:tcPr>
            <w:tcW w:w="2675" w:type="pct"/>
          </w:tcPr>
          <w:p w14:paraId="419D771A"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Long term administration (greater than 6 months) can cause bone loss/softening due to a reduction in bone mineral density</w:t>
            </w:r>
          </w:p>
          <w:p w14:paraId="50EEEFDE"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Discontinue therapy if no response after trial of 2-3 months</w:t>
            </w:r>
          </w:p>
          <w:p w14:paraId="7975062A"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If titrating higher than recommended dosing, consider obtaining UFH level 6 hours after dose given</w:t>
            </w:r>
          </w:p>
          <w:p w14:paraId="197A7664"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LMWH does not appear to have the same efficacy/benefit that UFH does for these patients</w:t>
            </w:r>
          </w:p>
          <w:p w14:paraId="0A1C9AFF"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Contraindicated in patients with recent significant bleeding</w:t>
            </w:r>
          </w:p>
        </w:tc>
      </w:tr>
      <w:tr w:rsidR="00BB6560" w:rsidRPr="00F938D4" w14:paraId="7DD143C4" w14:textId="77777777" w:rsidTr="00BB656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7E0BC65F"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IVIG</w:t>
            </w:r>
            <w:r w:rsidRPr="00BB6560">
              <w:rPr>
                <w:rFonts w:ascii="Arial" w:hAnsi="Arial" w:cs="Arial"/>
                <w:color w:val="333333"/>
                <w:sz w:val="16"/>
                <w:szCs w:val="16"/>
                <w:vertAlign w:val="superscript"/>
              </w:rPr>
              <w:t>11</w:t>
            </w:r>
          </w:p>
        </w:tc>
        <w:tc>
          <w:tcPr>
            <w:tcW w:w="1488" w:type="pct"/>
            <w:shd w:val="clear" w:color="auto" w:fill="E3E2EF" w:themeFill="accent6" w:themeFillTint="33"/>
          </w:tcPr>
          <w:p w14:paraId="24C61450"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IV: 1g/kg/dose every 4 weeks</w:t>
            </w:r>
          </w:p>
          <w:p w14:paraId="5E0606D2"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*consider higher doses and/or more frequent administration in patients with very low IgG levels</w:t>
            </w:r>
          </w:p>
        </w:tc>
        <w:tc>
          <w:tcPr>
            <w:tcW w:w="2675" w:type="pct"/>
            <w:shd w:val="clear" w:color="auto" w:fill="E3E2EF" w:themeFill="accent6" w:themeFillTint="33"/>
          </w:tcPr>
          <w:p w14:paraId="28408440" w14:textId="77777777" w:rsidR="002254C1" w:rsidRPr="00BB6560" w:rsidRDefault="002254C1" w:rsidP="00C94A2B">
            <w:pPr>
              <w:pStyle w:val="ListParagraph"/>
              <w:numPr>
                <w:ilvl w:val="0"/>
                <w:numId w:val="4"/>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Consider dose adjustment for obesity (Ideal or adjusted body weight)</w:t>
            </w:r>
          </w:p>
          <w:p w14:paraId="4E1E5C8C" w14:textId="77777777" w:rsidR="002254C1" w:rsidRPr="00BB6560" w:rsidRDefault="002254C1" w:rsidP="00C94A2B">
            <w:pPr>
              <w:pStyle w:val="ListParagraph"/>
              <w:numPr>
                <w:ilvl w:val="0"/>
                <w:numId w:val="4"/>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Some patients experience infusion site discomfort with peripheral infusion</w:t>
            </w:r>
          </w:p>
        </w:tc>
      </w:tr>
      <w:tr w:rsidR="00BB6560" w:rsidRPr="00F938D4" w14:paraId="117AADD9"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6021BF65"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Loperamide</w:t>
            </w:r>
          </w:p>
        </w:tc>
        <w:tc>
          <w:tcPr>
            <w:tcW w:w="1488" w:type="pct"/>
          </w:tcPr>
          <w:p w14:paraId="09B87603" w14:textId="77777777" w:rsidR="002254C1" w:rsidRPr="00BB6560" w:rsidRDefault="002254C1" w:rsidP="00C94A2B">
            <w:pPr>
              <w:pStyle w:val="ListParagraph"/>
              <w:numPr>
                <w:ilvl w:val="0"/>
                <w:numId w:val="10"/>
              </w:numPr>
              <w:ind w:left="193" w:hanging="2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Use in children less than2 years generally not recommended</w:t>
            </w:r>
          </w:p>
          <w:p w14:paraId="04940F49" w14:textId="77777777" w:rsidR="002254C1" w:rsidRPr="00BB6560" w:rsidRDefault="002254C1" w:rsidP="00C94A2B">
            <w:pPr>
              <w:pStyle w:val="ListParagraph"/>
              <w:numPr>
                <w:ilvl w:val="0"/>
                <w:numId w:val="10"/>
              </w:numPr>
              <w:ind w:left="193" w:hanging="2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Use age and weight specific dosing</w:t>
            </w:r>
          </w:p>
        </w:tc>
        <w:tc>
          <w:tcPr>
            <w:tcW w:w="2675" w:type="pct"/>
          </w:tcPr>
          <w:p w14:paraId="3F1B0DDB" w14:textId="77777777" w:rsidR="002254C1" w:rsidRPr="00BB6560" w:rsidRDefault="002254C1" w:rsidP="00C94A2B">
            <w:pPr>
              <w:pStyle w:val="ListParagraph"/>
              <w:numPr>
                <w:ilvl w:val="0"/>
                <w:numId w:val="11"/>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One case report of use in an adult patient</w:t>
            </w:r>
            <w:r w:rsidRPr="00BB6560">
              <w:rPr>
                <w:rFonts w:ascii="Arial" w:hAnsi="Arial" w:cs="Arial"/>
                <w:color w:val="333333"/>
                <w:sz w:val="16"/>
                <w:szCs w:val="16"/>
                <w:vertAlign w:val="superscript"/>
              </w:rPr>
              <w:t>12</w:t>
            </w:r>
          </w:p>
          <w:p w14:paraId="0BEF5617" w14:textId="77777777" w:rsidR="002254C1" w:rsidRPr="00BB6560" w:rsidRDefault="002254C1" w:rsidP="00C94A2B">
            <w:pPr>
              <w:pStyle w:val="ListParagraph"/>
              <w:numPr>
                <w:ilvl w:val="0"/>
                <w:numId w:val="11"/>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Use lowest effective dose for shortest duration </w:t>
            </w:r>
          </w:p>
          <w:p w14:paraId="77C6676D" w14:textId="77777777" w:rsidR="002254C1" w:rsidRPr="00BB6560" w:rsidRDefault="002254C1" w:rsidP="00C94A2B">
            <w:pPr>
              <w:pStyle w:val="ListParagraph"/>
              <w:numPr>
                <w:ilvl w:val="0"/>
                <w:numId w:val="11"/>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Use for PLE beyond 1 month has not been described</w:t>
            </w:r>
          </w:p>
        </w:tc>
      </w:tr>
      <w:tr w:rsidR="00BB6560" w:rsidRPr="00F938D4" w14:paraId="2DAFBBDC"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2A6C0B04"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Midodrine</w:t>
            </w:r>
          </w:p>
        </w:tc>
        <w:tc>
          <w:tcPr>
            <w:tcW w:w="1488" w:type="pct"/>
            <w:shd w:val="clear" w:color="auto" w:fill="E3E2EF" w:themeFill="accent6" w:themeFillTint="33"/>
          </w:tcPr>
          <w:p w14:paraId="0DEF603D"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Children: starting dose ~0.2 mg/kg/day PO divided TID</w:t>
            </w:r>
            <w:r w:rsidRPr="00BB6560">
              <w:rPr>
                <w:rFonts w:ascii="Arial" w:hAnsi="Arial" w:cs="Arial"/>
                <w:b/>
                <w:bCs/>
                <w:color w:val="333333"/>
                <w:sz w:val="16"/>
                <w:szCs w:val="16"/>
                <w:vertAlign w:val="superscript"/>
              </w:rPr>
              <w:t>13</w:t>
            </w:r>
          </w:p>
          <w:p w14:paraId="334BB816"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Adolescent/adult: starting dose 2.5 mg PO two to three times daily</w:t>
            </w:r>
            <w:r w:rsidRPr="00BB6560">
              <w:rPr>
                <w:rFonts w:ascii="Arial" w:hAnsi="Arial" w:cs="Arial"/>
                <w:b/>
                <w:bCs/>
                <w:color w:val="333333"/>
                <w:sz w:val="16"/>
                <w:szCs w:val="16"/>
                <w:vertAlign w:val="superscript"/>
              </w:rPr>
              <w:t>13</w:t>
            </w:r>
          </w:p>
          <w:p w14:paraId="7AE1F91C"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Maximum dose: 10 mg PO TID</w:t>
            </w:r>
          </w:p>
        </w:tc>
        <w:tc>
          <w:tcPr>
            <w:tcW w:w="2675" w:type="pct"/>
            <w:shd w:val="clear" w:color="auto" w:fill="E3E2EF" w:themeFill="accent6" w:themeFillTint="33"/>
          </w:tcPr>
          <w:p w14:paraId="4A1E8E33" w14:textId="77777777" w:rsidR="002254C1" w:rsidRPr="00BB6560" w:rsidRDefault="002254C1" w:rsidP="00C94A2B">
            <w:pPr>
              <w:pStyle w:val="ListParagraph"/>
              <w:numPr>
                <w:ilvl w:val="0"/>
                <w:numId w:val="12"/>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CHCO non-formulary medication</w:t>
            </w:r>
          </w:p>
          <w:p w14:paraId="11420B14" w14:textId="77777777" w:rsidR="002254C1" w:rsidRPr="00BB6560" w:rsidRDefault="002254C1" w:rsidP="00C94A2B">
            <w:pPr>
              <w:pStyle w:val="ListParagraph"/>
              <w:numPr>
                <w:ilvl w:val="0"/>
                <w:numId w:val="12"/>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Monitor for supine hypertension and bradycardia</w:t>
            </w:r>
          </w:p>
        </w:tc>
      </w:tr>
      <w:tr w:rsidR="00BB6560" w:rsidRPr="00F938D4" w14:paraId="6A9C5245"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49C6A63C"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Milrinone</w:t>
            </w:r>
          </w:p>
        </w:tc>
        <w:tc>
          <w:tcPr>
            <w:tcW w:w="1488" w:type="pct"/>
          </w:tcPr>
          <w:p w14:paraId="64E4384B" w14:textId="77777777" w:rsidR="002254C1" w:rsidRPr="00BB6560" w:rsidRDefault="002254C1"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IV: 0.25-0.5 mcg/kg/min starting dose </w:t>
            </w:r>
          </w:p>
        </w:tc>
        <w:tc>
          <w:tcPr>
            <w:tcW w:w="2675" w:type="pct"/>
          </w:tcPr>
          <w:p w14:paraId="22506FB0"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Caution/adjust dose for renal impairment</w:t>
            </w:r>
          </w:p>
          <w:p w14:paraId="02D96FA2" w14:textId="77777777" w:rsidR="002254C1" w:rsidRPr="00BB6560" w:rsidRDefault="002254C1" w:rsidP="00C94A2B">
            <w:pPr>
              <w:pStyle w:val="ListParagraph"/>
              <w:numPr>
                <w:ilvl w:val="0"/>
                <w:numId w:val="4"/>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Often used as bridge to heart transplant</w:t>
            </w:r>
          </w:p>
        </w:tc>
      </w:tr>
      <w:tr w:rsidR="00BB6560" w:rsidRPr="00F938D4" w14:paraId="526D0D76"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0A0D18A8"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Octreotide</w:t>
            </w:r>
          </w:p>
        </w:tc>
        <w:tc>
          <w:tcPr>
            <w:tcW w:w="1488" w:type="pct"/>
            <w:shd w:val="clear" w:color="auto" w:fill="E3E2EF" w:themeFill="accent6" w:themeFillTint="33"/>
          </w:tcPr>
          <w:p w14:paraId="3377AB9D" w14:textId="77777777" w:rsidR="002254C1" w:rsidRPr="00BB6560" w:rsidRDefault="002254C1" w:rsidP="00C94A2B">
            <w:pPr>
              <w:pStyle w:val="ListParagraph"/>
              <w:numPr>
                <w:ilvl w:val="0"/>
                <w:numId w:val="10"/>
              </w:numPr>
              <w:ind w:left="193" w:hanging="283"/>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continuous IV:  1-2 mcg/kg/hour</w:t>
            </w:r>
          </w:p>
          <w:p w14:paraId="10FF83EC" w14:textId="77777777" w:rsidR="002254C1" w:rsidRPr="00BB6560" w:rsidRDefault="002254C1" w:rsidP="00C94A2B">
            <w:pPr>
              <w:pStyle w:val="ListParagraph"/>
              <w:numPr>
                <w:ilvl w:val="0"/>
                <w:numId w:val="10"/>
              </w:numPr>
              <w:ind w:left="193" w:hanging="283"/>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IM LAR depot: 10-20 mg monthly reported</w:t>
            </w:r>
            <w:r w:rsidRPr="00BB6560">
              <w:rPr>
                <w:rFonts w:ascii="Arial" w:hAnsi="Arial" w:cs="Arial"/>
                <w:color w:val="333333"/>
                <w:sz w:val="16"/>
                <w:szCs w:val="16"/>
                <w:vertAlign w:val="superscript"/>
              </w:rPr>
              <w:t>14</w:t>
            </w:r>
          </w:p>
          <w:p w14:paraId="3574BF10" w14:textId="77777777" w:rsidR="002254C1" w:rsidRPr="00BB6560" w:rsidRDefault="002254C1" w:rsidP="00C94A2B">
            <w:pPr>
              <w:pStyle w:val="ListParagraph"/>
              <w:numPr>
                <w:ilvl w:val="0"/>
                <w:numId w:val="10"/>
              </w:numPr>
              <w:ind w:left="193" w:hanging="283"/>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IM immediate release: 50 mcg TID reported</w:t>
            </w:r>
            <w:r w:rsidRPr="00BB6560">
              <w:rPr>
                <w:rFonts w:ascii="Arial" w:hAnsi="Arial" w:cs="Arial"/>
                <w:color w:val="333333"/>
                <w:sz w:val="16"/>
                <w:szCs w:val="16"/>
                <w:vertAlign w:val="superscript"/>
              </w:rPr>
              <w:t>14</w:t>
            </w:r>
          </w:p>
        </w:tc>
        <w:tc>
          <w:tcPr>
            <w:tcW w:w="2675" w:type="pct"/>
            <w:shd w:val="clear" w:color="auto" w:fill="E3E2EF" w:themeFill="accent6" w:themeFillTint="33"/>
          </w:tcPr>
          <w:p w14:paraId="5AD2A9D8" w14:textId="77777777" w:rsidR="002254C1" w:rsidRPr="00BB6560" w:rsidRDefault="002254C1" w:rsidP="00C94A2B">
            <w:pPr>
              <w:pStyle w:val="ListParagraph"/>
              <w:numPr>
                <w:ilvl w:val="0"/>
                <w:numId w:val="8"/>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After continuous IV initiation, may convert to subcutaneous injections</w:t>
            </w:r>
          </w:p>
          <w:p w14:paraId="5ECAA5EC" w14:textId="77777777" w:rsidR="002254C1" w:rsidRPr="00BB6560" w:rsidRDefault="002254C1" w:rsidP="00C94A2B">
            <w:pPr>
              <w:pStyle w:val="ListParagraph"/>
              <w:numPr>
                <w:ilvl w:val="0"/>
                <w:numId w:val="8"/>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May cause hyperglycemia, hypoglycemia, hypothyroidism, cholelithiasis</w:t>
            </w:r>
          </w:p>
          <w:p w14:paraId="1F4C4280" w14:textId="77777777" w:rsidR="002254C1" w:rsidRPr="00BB6560" w:rsidRDefault="002254C1" w:rsidP="00C94A2B">
            <w:pPr>
              <w:pStyle w:val="ListParagraph"/>
              <w:numPr>
                <w:ilvl w:val="0"/>
                <w:numId w:val="8"/>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Cardiac side effects: bradycardia, QT prolongation</w:t>
            </w:r>
          </w:p>
          <w:p w14:paraId="4B9FF454" w14:textId="77777777" w:rsidR="002254C1" w:rsidRPr="00BB6560" w:rsidRDefault="002254C1" w:rsidP="00C94A2B">
            <w:pPr>
              <w:pStyle w:val="ListParagraph"/>
              <w:numPr>
                <w:ilvl w:val="0"/>
                <w:numId w:val="8"/>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Caution/dose adjustment in patients with hepatic impairment</w:t>
            </w:r>
          </w:p>
        </w:tc>
      </w:tr>
      <w:tr w:rsidR="00BB6560" w:rsidRPr="00F938D4" w14:paraId="42470899"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3CAA44A1"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Sildenafil</w:t>
            </w:r>
          </w:p>
        </w:tc>
        <w:tc>
          <w:tcPr>
            <w:tcW w:w="1488" w:type="pct"/>
          </w:tcPr>
          <w:p w14:paraId="6B17A961" w14:textId="77777777" w:rsidR="002254C1" w:rsidRPr="00BB6560" w:rsidRDefault="002254C1" w:rsidP="008355F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Infants and children: </w:t>
            </w:r>
          </w:p>
          <w:p w14:paraId="05C9E6BA" w14:textId="77777777" w:rsidR="002254C1" w:rsidRPr="00BB6560" w:rsidRDefault="002254C1" w:rsidP="00C94A2B">
            <w:pPr>
              <w:pStyle w:val="ListParagraph"/>
              <w:numPr>
                <w:ilvl w:val="0"/>
                <w:numId w:val="13"/>
              </w:numPr>
              <w:ind w:left="193" w:hanging="2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lastRenderedPageBreak/>
              <w:t>Starting dose: 0.5 mg/kg/dose PO every 6 hours reported</w:t>
            </w:r>
            <w:r w:rsidRPr="00BB6560">
              <w:rPr>
                <w:rFonts w:ascii="Arial" w:hAnsi="Arial" w:cs="Arial"/>
                <w:color w:val="333333"/>
                <w:sz w:val="16"/>
                <w:szCs w:val="16"/>
                <w:vertAlign w:val="superscript"/>
              </w:rPr>
              <w:t>15</w:t>
            </w:r>
          </w:p>
          <w:p w14:paraId="2DA5240B" w14:textId="77777777" w:rsidR="002254C1" w:rsidRPr="00BB6560" w:rsidRDefault="002254C1" w:rsidP="00C94A2B">
            <w:pPr>
              <w:pStyle w:val="ListParagraph"/>
              <w:numPr>
                <w:ilvl w:val="0"/>
                <w:numId w:val="13"/>
              </w:numPr>
              <w:ind w:left="193" w:hanging="2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Maximum dose: 1.5 mg/kg/dose PO every 6 hours reported</w:t>
            </w:r>
            <w:r w:rsidRPr="00BB6560">
              <w:rPr>
                <w:rFonts w:ascii="Arial" w:hAnsi="Arial" w:cs="Arial"/>
                <w:color w:val="333333"/>
                <w:sz w:val="16"/>
                <w:szCs w:val="16"/>
                <w:vertAlign w:val="superscript"/>
              </w:rPr>
              <w:t>15</w:t>
            </w:r>
          </w:p>
          <w:p w14:paraId="336495DC" w14:textId="77777777" w:rsidR="002254C1" w:rsidRPr="00BB6560" w:rsidRDefault="002254C1" w:rsidP="00C94A2B">
            <w:pPr>
              <w:pStyle w:val="ListParagraph"/>
              <w:numPr>
                <w:ilvl w:val="0"/>
                <w:numId w:val="13"/>
              </w:numPr>
              <w:ind w:left="193" w:hanging="2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Maximum total daily dose: 60 mg PO</w:t>
            </w:r>
          </w:p>
          <w:p w14:paraId="34D5E6EC" w14:textId="77777777" w:rsidR="002254C1" w:rsidRPr="00BB6560" w:rsidRDefault="002254C1" w:rsidP="008355FB">
            <w:pPr>
              <w:ind w:left="-57"/>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Adolescents and adults greater than 45 kg: </w:t>
            </w:r>
          </w:p>
          <w:p w14:paraId="0D08C8F3" w14:textId="77777777" w:rsidR="002254C1" w:rsidRPr="00BB6560" w:rsidRDefault="002254C1" w:rsidP="00C94A2B">
            <w:pPr>
              <w:pStyle w:val="ListParagraph"/>
              <w:numPr>
                <w:ilvl w:val="0"/>
                <w:numId w:val="13"/>
              </w:numPr>
              <w:ind w:left="193" w:hanging="256"/>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Starting dose: 10 mg PO every 8 hours</w:t>
            </w:r>
          </w:p>
        </w:tc>
        <w:tc>
          <w:tcPr>
            <w:tcW w:w="2675" w:type="pct"/>
          </w:tcPr>
          <w:p w14:paraId="2511C442" w14:textId="77777777" w:rsidR="002254C1" w:rsidRPr="00BB6560" w:rsidRDefault="002254C1" w:rsidP="00C94A2B">
            <w:pPr>
              <w:pStyle w:val="ListParagraph"/>
              <w:numPr>
                <w:ilvl w:val="0"/>
                <w:numId w:val="8"/>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lastRenderedPageBreak/>
              <w:t>Titrate to goal dose over several days</w:t>
            </w:r>
          </w:p>
          <w:p w14:paraId="35A2D15F" w14:textId="77777777" w:rsidR="002254C1" w:rsidRPr="00BB6560" w:rsidRDefault="002254C1" w:rsidP="00C94A2B">
            <w:pPr>
              <w:pStyle w:val="ListParagraph"/>
              <w:numPr>
                <w:ilvl w:val="0"/>
                <w:numId w:val="8"/>
              </w:numPr>
              <w:ind w:left="301"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If no improvement within 3+ months, wean off</w:t>
            </w:r>
          </w:p>
        </w:tc>
      </w:tr>
      <w:tr w:rsidR="00BB6560" w:rsidRPr="00BB6560" w14:paraId="4CB272DA" w14:textId="77777777" w:rsidTr="00BB6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pct"/>
            <w:shd w:val="clear" w:color="auto" w:fill="E3E2EF" w:themeFill="accent6" w:themeFillTint="33"/>
          </w:tcPr>
          <w:p w14:paraId="3A219C51" w14:textId="77777777" w:rsidR="002254C1" w:rsidRPr="00BB6560" w:rsidRDefault="002254C1" w:rsidP="008355FB">
            <w:pPr>
              <w:rPr>
                <w:rFonts w:ascii="Arial" w:hAnsi="Arial" w:cs="Arial"/>
                <w:color w:val="333333"/>
                <w:sz w:val="16"/>
                <w:szCs w:val="16"/>
                <w:vertAlign w:val="superscript"/>
              </w:rPr>
            </w:pPr>
            <w:r w:rsidRPr="00BB6560">
              <w:rPr>
                <w:rFonts w:ascii="Arial" w:hAnsi="Arial" w:cs="Arial"/>
                <w:color w:val="333333"/>
                <w:sz w:val="16"/>
                <w:szCs w:val="16"/>
              </w:rPr>
              <w:t>Spironolactone</w:t>
            </w:r>
            <w:r w:rsidRPr="00BB6560">
              <w:rPr>
                <w:rFonts w:ascii="Arial" w:hAnsi="Arial" w:cs="Arial"/>
                <w:color w:val="333333"/>
                <w:sz w:val="16"/>
                <w:szCs w:val="16"/>
                <w:vertAlign w:val="superscript"/>
              </w:rPr>
              <w:t>16,17,18</w:t>
            </w:r>
          </w:p>
        </w:tc>
        <w:tc>
          <w:tcPr>
            <w:tcW w:w="1488" w:type="pct"/>
            <w:shd w:val="clear" w:color="auto" w:fill="E3E2EF" w:themeFill="accent6" w:themeFillTint="33"/>
          </w:tcPr>
          <w:p w14:paraId="367694E3" w14:textId="77777777" w:rsidR="002254C1" w:rsidRPr="00BB6560" w:rsidRDefault="002254C1" w:rsidP="008355F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PO/NG/G-tube: 4-6 mg/kg/day divided BID</w:t>
            </w:r>
          </w:p>
        </w:tc>
        <w:tc>
          <w:tcPr>
            <w:tcW w:w="2675" w:type="pct"/>
            <w:shd w:val="clear" w:color="auto" w:fill="E3E2EF" w:themeFill="accent6" w:themeFillTint="33"/>
          </w:tcPr>
          <w:p w14:paraId="7E3A8A8C" w14:textId="77777777" w:rsidR="002254C1" w:rsidRPr="00BB6560" w:rsidRDefault="002254C1" w:rsidP="00C94A2B">
            <w:pPr>
              <w:pStyle w:val="ListParagraph"/>
              <w:numPr>
                <w:ilvl w:val="0"/>
                <w:numId w:val="5"/>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 xml:space="preserve">Consider transition to eplerenone if gynecomastia develops </w:t>
            </w:r>
          </w:p>
          <w:p w14:paraId="26E22502" w14:textId="77777777" w:rsidR="002254C1" w:rsidRPr="00BB6560" w:rsidRDefault="002254C1" w:rsidP="00C94A2B">
            <w:pPr>
              <w:pStyle w:val="ListParagraph"/>
              <w:numPr>
                <w:ilvl w:val="0"/>
                <w:numId w:val="5"/>
              </w:numPr>
              <w:ind w:left="301" w:hanging="27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6"/>
                <w:szCs w:val="16"/>
                <w:lang w:val="pt-BR"/>
              </w:rPr>
            </w:pPr>
            <w:r w:rsidRPr="00BB6560">
              <w:rPr>
                <w:rFonts w:ascii="Arial" w:hAnsi="Arial" w:cs="Arial"/>
                <w:color w:val="333333"/>
                <w:sz w:val="16"/>
                <w:szCs w:val="16"/>
                <w:lang w:val="pt-BR"/>
              </w:rPr>
              <w:t>Periodic serum potassium checks necessary</w:t>
            </w:r>
          </w:p>
        </w:tc>
      </w:tr>
      <w:tr w:rsidR="00BB6560" w:rsidRPr="00F938D4" w14:paraId="3BE40824" w14:textId="77777777" w:rsidTr="00BB6560">
        <w:tc>
          <w:tcPr>
            <w:cnfStyle w:val="001000000000" w:firstRow="0" w:lastRow="0" w:firstColumn="1" w:lastColumn="0" w:oddVBand="0" w:evenVBand="0" w:oddHBand="0" w:evenHBand="0" w:firstRowFirstColumn="0" w:firstRowLastColumn="0" w:lastRowFirstColumn="0" w:lastRowLastColumn="0"/>
            <w:tcW w:w="837" w:type="pct"/>
          </w:tcPr>
          <w:p w14:paraId="74ECE6B7" w14:textId="77777777" w:rsidR="002254C1" w:rsidRPr="00BB6560" w:rsidRDefault="002254C1" w:rsidP="008355FB">
            <w:pPr>
              <w:rPr>
                <w:rFonts w:ascii="Arial" w:hAnsi="Arial" w:cs="Arial"/>
                <w:color w:val="333333"/>
                <w:sz w:val="16"/>
                <w:szCs w:val="16"/>
              </w:rPr>
            </w:pPr>
            <w:r w:rsidRPr="00BB6560">
              <w:rPr>
                <w:rFonts w:ascii="Arial" w:hAnsi="Arial" w:cs="Arial"/>
                <w:color w:val="333333"/>
                <w:sz w:val="16"/>
                <w:szCs w:val="16"/>
              </w:rPr>
              <w:t>Tadalafil</w:t>
            </w:r>
          </w:p>
        </w:tc>
        <w:tc>
          <w:tcPr>
            <w:tcW w:w="1488" w:type="pct"/>
          </w:tcPr>
          <w:p w14:paraId="3F5BEC4C" w14:textId="77777777" w:rsidR="002254C1" w:rsidRPr="00BB6560" w:rsidRDefault="002254C1" w:rsidP="008355FB">
            <w:pPr>
              <w:ind w:left="-74"/>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0.5-1 mg/kg/dose once daily. Maximum dose is 40 mg (if tolerated)</w:t>
            </w:r>
          </w:p>
        </w:tc>
        <w:tc>
          <w:tcPr>
            <w:tcW w:w="2675" w:type="pct"/>
          </w:tcPr>
          <w:p w14:paraId="4484F627" w14:textId="77777777" w:rsidR="002254C1" w:rsidRPr="00BB6560" w:rsidRDefault="002254C1" w:rsidP="00C94A2B">
            <w:pPr>
              <w:pStyle w:val="ListParagraph"/>
              <w:numPr>
                <w:ilvl w:val="0"/>
                <w:numId w:val="5"/>
              </w:numPr>
              <w:ind w:left="256" w:hanging="27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6"/>
                <w:szCs w:val="16"/>
              </w:rPr>
            </w:pPr>
            <w:r w:rsidRPr="00BB6560">
              <w:rPr>
                <w:rFonts w:ascii="Arial" w:hAnsi="Arial" w:cs="Arial"/>
                <w:color w:val="333333"/>
                <w:sz w:val="16"/>
                <w:szCs w:val="16"/>
              </w:rPr>
              <w:t>Consider as alternative for sildenafil with once daily dosing in older patients</w:t>
            </w:r>
          </w:p>
        </w:tc>
      </w:tr>
    </w:tbl>
    <w:p w14:paraId="7C5329EC" w14:textId="1665B873" w:rsidR="002254C1" w:rsidRDefault="002254C1" w:rsidP="002254C1">
      <w:pPr>
        <w:spacing w:line="240" w:lineRule="exact"/>
        <w:rPr>
          <w:rFonts w:ascii="Arial" w:hAnsi="Arial" w:cs="Arial"/>
          <w:b/>
          <w:color w:val="707070" w:themeColor="background2" w:themeShade="80"/>
          <w:spacing w:val="20"/>
          <w:sz w:val="20"/>
          <w:szCs w:val="20"/>
        </w:rPr>
      </w:pPr>
    </w:p>
    <w:p w14:paraId="1D7C365A" w14:textId="77777777" w:rsidR="002254C1" w:rsidRDefault="002254C1" w:rsidP="002254C1">
      <w:pPr>
        <w:spacing w:line="240" w:lineRule="exact"/>
        <w:rPr>
          <w:rFonts w:ascii="Arial" w:hAnsi="Arial" w:cs="Arial"/>
          <w:b/>
          <w:color w:val="707070" w:themeColor="background2" w:themeShade="80"/>
          <w:spacing w:val="20"/>
          <w:sz w:val="20"/>
          <w:szCs w:val="20"/>
        </w:rPr>
      </w:pPr>
    </w:p>
    <w:p w14:paraId="21FACCDF" w14:textId="657E2B0A" w:rsidR="00A959CF" w:rsidRPr="00A959CF" w:rsidRDefault="002254C1" w:rsidP="00C94A2B">
      <w:pPr>
        <w:pStyle w:val="ListParagraph"/>
        <w:numPr>
          <w:ilvl w:val="0"/>
          <w:numId w:val="1"/>
        </w:numPr>
        <w:spacing w:line="240" w:lineRule="exact"/>
        <w:ind w:left="360"/>
        <w:rPr>
          <w:rFonts w:ascii="Arial" w:hAnsi="Arial" w:cs="Arial"/>
          <w:b/>
          <w:color w:val="707070" w:themeColor="background2" w:themeShade="80"/>
          <w:spacing w:val="20"/>
          <w:sz w:val="16"/>
          <w:szCs w:val="20"/>
        </w:rPr>
      </w:pPr>
      <w:r w:rsidRPr="002254C1">
        <w:rPr>
          <w:rFonts w:ascii="Arial" w:hAnsi="Arial" w:cs="Arial"/>
          <w:b/>
          <w:color w:val="707070" w:themeColor="background2" w:themeShade="80"/>
          <w:sz w:val="20"/>
          <w:szCs w:val="20"/>
        </w:rPr>
        <w:t>Chronic PLE management</w:t>
      </w:r>
      <w:r w:rsidR="00A959CF">
        <w:rPr>
          <w:rFonts w:ascii="Arial" w:hAnsi="Arial" w:cs="Arial"/>
          <w:b/>
          <w:color w:val="707070" w:themeColor="background2" w:themeShade="80"/>
          <w:sz w:val="20"/>
          <w:szCs w:val="20"/>
        </w:rPr>
        <w:br/>
      </w:r>
      <w:r w:rsidR="00A959CF" w:rsidRPr="00A959CF">
        <w:rPr>
          <w:rFonts w:ascii="Arial" w:hAnsi="Arial" w:cs="Arial"/>
          <w:color w:val="707070" w:themeColor="background2" w:themeShade="80"/>
          <w:sz w:val="20"/>
        </w:rPr>
        <w:t>PLE in Fontan patients is often punctuated by exacerbation episodes with or without chronic symptoms. These patients require close monitoring for early intervention and medical optimization. PLE also places Fontan patients at increased risk for non-cardiac sequela which treating providers must be aware of. In some patients, severity and frequency of symptoms prompts referral for heart transplantation. In general, early referral to the heart transplant team is preferred.</w:t>
      </w:r>
    </w:p>
    <w:p w14:paraId="3CAE5ED8" w14:textId="77777777" w:rsidR="00A959CF" w:rsidRPr="00A959CF" w:rsidRDefault="00A959CF" w:rsidP="00C94A2B">
      <w:pPr>
        <w:pStyle w:val="ListParagraph"/>
        <w:numPr>
          <w:ilvl w:val="1"/>
          <w:numId w:val="1"/>
        </w:numPr>
        <w:spacing w:line="240" w:lineRule="exact"/>
        <w:ind w:left="720"/>
        <w:rPr>
          <w:rFonts w:ascii="Arial" w:hAnsi="Arial" w:cs="Arial"/>
          <w:b/>
          <w:color w:val="707070" w:themeColor="background2" w:themeShade="80"/>
          <w:spacing w:val="20"/>
          <w:sz w:val="20"/>
          <w:szCs w:val="20"/>
        </w:rPr>
      </w:pPr>
      <w:r w:rsidRPr="00A959CF">
        <w:rPr>
          <w:rFonts w:ascii="Arial" w:hAnsi="Arial" w:cs="Arial"/>
          <w:color w:val="707070" w:themeColor="background2" w:themeShade="80"/>
          <w:sz w:val="20"/>
          <w:szCs w:val="20"/>
        </w:rPr>
        <w:t>Clinic visits</w:t>
      </w:r>
    </w:p>
    <w:p w14:paraId="1F7D4D5E" w14:textId="77777777" w:rsidR="00A959CF" w:rsidRPr="00A959CF" w:rsidRDefault="00A959CF"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A959CF">
        <w:rPr>
          <w:rFonts w:ascii="Arial" w:hAnsi="Arial" w:cs="Arial"/>
          <w:color w:val="707070" w:themeColor="background2" w:themeShade="80"/>
          <w:sz w:val="20"/>
          <w:szCs w:val="20"/>
        </w:rPr>
        <w:t>Every 6 months for patients with quiescent PLE</w:t>
      </w:r>
    </w:p>
    <w:p w14:paraId="08DD0B78" w14:textId="77777777" w:rsidR="00A959CF" w:rsidRDefault="00A959CF" w:rsidP="00C94A2B">
      <w:pPr>
        <w:pStyle w:val="ListParagraph"/>
        <w:numPr>
          <w:ilvl w:val="2"/>
          <w:numId w:val="1"/>
        </w:numPr>
        <w:spacing w:line="240" w:lineRule="exact"/>
        <w:ind w:left="1080" w:hanging="180"/>
        <w:rPr>
          <w:rFonts w:ascii="Arial" w:hAnsi="Arial" w:cs="Arial"/>
          <w:color w:val="707070" w:themeColor="background2" w:themeShade="80"/>
          <w:sz w:val="20"/>
          <w:szCs w:val="20"/>
        </w:rPr>
      </w:pPr>
      <w:r w:rsidRPr="00A959CF">
        <w:rPr>
          <w:rFonts w:ascii="Arial" w:hAnsi="Arial" w:cs="Arial"/>
          <w:color w:val="707070" w:themeColor="background2" w:themeShade="80"/>
          <w:sz w:val="20"/>
          <w:szCs w:val="20"/>
        </w:rPr>
        <w:t>More frequently for patients with active PLE with consideration of escalation of treatment at each visit</w:t>
      </w:r>
    </w:p>
    <w:p w14:paraId="354CF2D3" w14:textId="77777777" w:rsidR="00A959CF" w:rsidRDefault="00A959CF" w:rsidP="00C94A2B">
      <w:pPr>
        <w:pStyle w:val="ListParagraph"/>
        <w:numPr>
          <w:ilvl w:val="1"/>
          <w:numId w:val="1"/>
        </w:numPr>
        <w:spacing w:line="240" w:lineRule="exact"/>
        <w:ind w:left="720"/>
        <w:rPr>
          <w:rFonts w:ascii="Arial" w:hAnsi="Arial" w:cs="Arial"/>
          <w:color w:val="707070" w:themeColor="background2" w:themeShade="80"/>
          <w:sz w:val="20"/>
          <w:szCs w:val="20"/>
        </w:rPr>
      </w:pPr>
      <w:r w:rsidRPr="00A959CF">
        <w:rPr>
          <w:rFonts w:ascii="Arial" w:hAnsi="Arial" w:cs="Arial"/>
          <w:color w:val="707070" w:themeColor="background2" w:themeShade="80"/>
          <w:sz w:val="20"/>
          <w:szCs w:val="20"/>
        </w:rPr>
        <w:t>Laboratory evaluation</w:t>
      </w:r>
    </w:p>
    <w:p w14:paraId="7BE59412" w14:textId="77777777" w:rsidR="00A959CF" w:rsidRDefault="00A959CF" w:rsidP="00C94A2B">
      <w:pPr>
        <w:pStyle w:val="ListParagraph"/>
        <w:numPr>
          <w:ilvl w:val="2"/>
          <w:numId w:val="1"/>
        </w:numPr>
        <w:ind w:left="1080" w:hanging="180"/>
        <w:rPr>
          <w:rFonts w:ascii="Arial" w:hAnsi="Arial" w:cs="Arial"/>
          <w:color w:val="707070" w:themeColor="background2" w:themeShade="80"/>
          <w:sz w:val="20"/>
          <w:szCs w:val="20"/>
        </w:rPr>
      </w:pPr>
      <w:r w:rsidRPr="00A959CF">
        <w:rPr>
          <w:rFonts w:ascii="Arial" w:hAnsi="Arial" w:cs="Arial"/>
          <w:color w:val="707070" w:themeColor="background2" w:themeShade="80"/>
          <w:sz w:val="20"/>
          <w:szCs w:val="20"/>
        </w:rPr>
        <w:t>Every 3-6 months early after diagnosis and then at least annually: BMP, Magnesium, LFTs, CBC, albumin, total protein</w:t>
      </w:r>
    </w:p>
    <w:p w14:paraId="16719F25" w14:textId="77777777" w:rsidR="00A959CF" w:rsidRDefault="00A959CF" w:rsidP="00C94A2B">
      <w:pPr>
        <w:pStyle w:val="ListParagraph"/>
        <w:numPr>
          <w:ilvl w:val="1"/>
          <w:numId w:val="1"/>
        </w:numPr>
        <w:ind w:left="720"/>
        <w:rPr>
          <w:rFonts w:ascii="Arial" w:hAnsi="Arial" w:cs="Arial"/>
          <w:color w:val="707070" w:themeColor="background2" w:themeShade="80"/>
          <w:sz w:val="20"/>
          <w:szCs w:val="20"/>
        </w:rPr>
      </w:pPr>
      <w:r w:rsidRPr="00A959CF">
        <w:rPr>
          <w:rFonts w:ascii="Arial" w:hAnsi="Arial" w:cs="Arial"/>
          <w:color w:val="707070" w:themeColor="background2" w:themeShade="80"/>
          <w:sz w:val="20"/>
          <w:szCs w:val="20"/>
        </w:rPr>
        <w:t>Diagnostic testing (in addition to routine cardiac testing for Fontan population</w:t>
      </w:r>
    </w:p>
    <w:p w14:paraId="7AE6D1B9" w14:textId="01CA7CB1" w:rsidR="00065829" w:rsidRDefault="00A959CF" w:rsidP="00C94A2B">
      <w:pPr>
        <w:pStyle w:val="ListParagraph"/>
        <w:numPr>
          <w:ilvl w:val="2"/>
          <w:numId w:val="1"/>
        </w:numPr>
        <w:ind w:left="1080" w:hanging="180"/>
        <w:rPr>
          <w:rFonts w:ascii="Arial" w:hAnsi="Arial" w:cs="Arial"/>
          <w:b/>
          <w:color w:val="707070" w:themeColor="background2" w:themeShade="80"/>
          <w:spacing w:val="20"/>
          <w:sz w:val="20"/>
          <w:szCs w:val="20"/>
        </w:rPr>
      </w:pPr>
      <w:r w:rsidRPr="00A959CF">
        <w:rPr>
          <w:rFonts w:ascii="Arial" w:hAnsi="Arial" w:cs="Arial"/>
          <w:color w:val="707070" w:themeColor="background2" w:themeShade="80"/>
          <w:sz w:val="20"/>
          <w:szCs w:val="20"/>
        </w:rPr>
        <w:t>Consider DEXA-bone scan bi-annually in patients at high risk for or with prior h/o osteopenia</w:t>
      </w:r>
    </w:p>
    <w:p w14:paraId="19DAFDE5" w14:textId="699D482E" w:rsidR="009A2233" w:rsidRDefault="009A2233" w:rsidP="00065829">
      <w:pPr>
        <w:pStyle w:val="ListParagraph"/>
        <w:spacing w:line="240" w:lineRule="exact"/>
        <w:rPr>
          <w:rFonts w:ascii="Arial" w:hAnsi="Arial" w:cs="Arial"/>
          <w:b/>
          <w:color w:val="707070" w:themeColor="background2" w:themeShade="80"/>
          <w:spacing w:val="20"/>
          <w:sz w:val="20"/>
          <w:szCs w:val="20"/>
        </w:rPr>
      </w:pPr>
    </w:p>
    <w:p w14:paraId="7D1240B9" w14:textId="55735ECC" w:rsidR="0036544B" w:rsidRPr="00256B45" w:rsidRDefault="0036544B" w:rsidP="0036544B">
      <w:pPr>
        <w:spacing w:after="120" w:line="240" w:lineRule="exact"/>
        <w:rPr>
          <w:rFonts w:ascii="Arial" w:hAnsi="Arial" w:cs="Arial"/>
          <w:b/>
          <w:color w:val="578988"/>
          <w:spacing w:val="20"/>
          <w:sz w:val="18"/>
          <w:szCs w:val="18"/>
        </w:rPr>
      </w:pPr>
      <w:r>
        <w:rPr>
          <w:rFonts w:ascii="Arial" w:hAnsi="Arial" w:cs="Arial"/>
          <w:b/>
          <w:color w:val="578988"/>
          <w:spacing w:val="20"/>
          <w:sz w:val="18"/>
          <w:szCs w:val="18"/>
        </w:rPr>
        <w:t>REFERENCES</w:t>
      </w:r>
      <w:r w:rsidRPr="00256B45">
        <w:rPr>
          <w:rFonts w:ascii="Arial" w:hAnsi="Arial" w:cs="Arial"/>
          <w:b/>
          <w:color w:val="578988"/>
          <w:spacing w:val="20"/>
          <w:sz w:val="18"/>
          <w:szCs w:val="18"/>
        </w:rPr>
        <w:t xml:space="preserve"> </w:t>
      </w:r>
    </w:p>
    <w:p w14:paraId="07DD0A54" w14:textId="77777777" w:rsidR="00CA408F" w:rsidRPr="00676F81" w:rsidRDefault="00CA408F" w:rsidP="00C94A2B">
      <w:pPr>
        <w:pStyle w:val="ListParagraph"/>
        <w:numPr>
          <w:ilvl w:val="0"/>
          <w:numId w:val="15"/>
        </w:numPr>
        <w:rPr>
          <w:rFonts w:ascii="Arial" w:hAnsi="Arial" w:cs="Arial"/>
          <w:bCs/>
          <w:color w:val="707070" w:themeColor="background2" w:themeShade="80"/>
          <w:sz w:val="16"/>
          <w:szCs w:val="16"/>
        </w:rPr>
      </w:pPr>
      <w:r w:rsidRPr="00676F81">
        <w:rPr>
          <w:rFonts w:ascii="Arial" w:hAnsi="Arial" w:cs="Arial"/>
          <w:bCs/>
          <w:color w:val="707070" w:themeColor="background2" w:themeShade="80"/>
          <w:sz w:val="16"/>
          <w:szCs w:val="16"/>
        </w:rPr>
        <w:t xml:space="preserve">Rychik J, Atz AM, Celermajer DS, et al. Evaluation and management of the Child and adult with Fontan circulation: a scientific statement from the American Heart Association. </w:t>
      </w:r>
      <w:r w:rsidRPr="00676F81">
        <w:rPr>
          <w:rFonts w:ascii="Arial" w:hAnsi="Arial" w:cs="Arial"/>
          <w:bCs/>
          <w:i/>
          <w:iCs/>
          <w:color w:val="707070" w:themeColor="background2" w:themeShade="80"/>
          <w:sz w:val="16"/>
          <w:szCs w:val="16"/>
        </w:rPr>
        <w:t>Circulation</w:t>
      </w:r>
      <w:r w:rsidRPr="00676F81">
        <w:rPr>
          <w:rFonts w:ascii="Arial" w:hAnsi="Arial" w:cs="Arial"/>
          <w:bCs/>
          <w:color w:val="707070" w:themeColor="background2" w:themeShade="80"/>
          <w:sz w:val="16"/>
          <w:szCs w:val="16"/>
        </w:rPr>
        <w:t>. 2019;140:e234-e284.</w:t>
      </w:r>
    </w:p>
    <w:p w14:paraId="45E1EAA5"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Turner Z, Lanford L, Webber S. Oral budesonide as a therapy for protein-losing enteropathy in patients having undergone Fontan palliation. Congenit Heart Dis. 2012 Jan-Feb;7(1):24-30.</w:t>
      </w:r>
    </w:p>
    <w:p w14:paraId="06F38347"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Thacker D, Patel A, Dodds K, et al. Use of Oral Budesonide in the Management of Protein-Losing Enteropathy After the Fontan Operation. Ann Thorac Surg. 2010 Mar;89(3):837-842.</w:t>
      </w:r>
    </w:p>
    <w:p w14:paraId="46FFEB45"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14532E">
        <w:rPr>
          <w:rFonts w:ascii="Arial" w:hAnsi="Arial" w:cs="Arial"/>
          <w:color w:val="707070" w:themeColor="background2" w:themeShade="80"/>
          <w:sz w:val="16"/>
          <w:szCs w:val="16"/>
          <w:lang w:val="de-DE"/>
        </w:rPr>
        <w:t xml:space="preserve">Schumacher KR, Cools M, Goldstein BH, et al. </w:t>
      </w:r>
      <w:r w:rsidRPr="00676F81">
        <w:rPr>
          <w:rFonts w:ascii="Arial" w:hAnsi="Arial" w:cs="Arial"/>
          <w:color w:val="707070" w:themeColor="background2" w:themeShade="80"/>
          <w:sz w:val="16"/>
          <w:szCs w:val="16"/>
        </w:rPr>
        <w:t>Oral Budesonide Treatment for Protein-Losing Enteropathy in Fontan-Palliated Patients. Pediatr Cardiol. 2011 Oct;32(7):966-971.</w:t>
      </w:r>
    </w:p>
    <w:p w14:paraId="62F1A3E9"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John AS, Driscoll DJ, Warnes CA, et al. The use of oral budesonide in adolescents and adults with protein-losing enteropathy after the Fontan operation. Ann Thorac Surg. 2011 Oct;92(4):1451-6.</w:t>
      </w:r>
    </w:p>
    <w:p w14:paraId="6B2A066C"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Friedland-Little JM, Gajarski RJ, Schumacher KR. Dopamine as a potential rescue therapy for refractory protein-losing enteropathy in Fontan-palliated patients. Pediatr Transplant. 2017 Jun;21(4). doi: 10.1111/petr.12925. Epub 2017 Mar 30. PMID: 28370952.</w:t>
      </w:r>
    </w:p>
    <w:p w14:paraId="464542D6"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14532E">
        <w:rPr>
          <w:rFonts w:ascii="Arial" w:hAnsi="Arial" w:cs="Arial"/>
          <w:color w:val="707070" w:themeColor="background2" w:themeShade="80"/>
          <w:sz w:val="16"/>
          <w:szCs w:val="16"/>
          <w:lang w:val="fr-FR"/>
        </w:rPr>
        <w:t xml:space="preserve">Mizuochi T, Suda K, Seki Y, et al. </w:t>
      </w:r>
      <w:r w:rsidRPr="00676F81">
        <w:rPr>
          <w:rFonts w:ascii="Arial" w:hAnsi="Arial" w:cs="Arial"/>
          <w:color w:val="707070" w:themeColor="background2" w:themeShade="80"/>
          <w:sz w:val="16"/>
          <w:szCs w:val="16"/>
        </w:rPr>
        <w:t>Successful diuretics treatment of protein-losing enteropathy in Noonan syndrome. Pediatr Int. 2015 Apr;57(2):e39-41.</w:t>
      </w:r>
    </w:p>
    <w:p w14:paraId="6A21F145"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Donnelly JP, Rosenthal A, Castle VP, et al. Reversal of protein-losing enteropathy with heparin therapy in three patients with univentricular hearts and Fontan palliation. J Pediatr. 1997 Mar;130(3):474-8. doi: 10.1016/s0022-3476(97)70214-2. PMID: 9063428.</w:t>
      </w:r>
    </w:p>
    <w:p w14:paraId="3331C2A1"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Ryerson L, Goldberg C, Rosenthal A, et al. Usefulness of heparin therapy in protein-losing enteropathy associated with single ventricle palliation. Am J Cardiol. 2008 Jan 15;101(2):248-51. doi: 10.1016/j.amjcard.2007.08.029. PMID: 18178416.</w:t>
      </w:r>
    </w:p>
    <w:p w14:paraId="170456CF"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Bendayán I, Casaldaliga J, Castelló F, et al. Heparin therapy and reversal of protein-losing enteropathy in a case with congenital heart disease. Pediatr Cardiol. 2000 May-Jun;21(3):267-8. doi: 10.1007/s002460010055. PMID: 10818189.</w:t>
      </w:r>
    </w:p>
    <w:p w14:paraId="1C82FF25"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Zaupper LB, Nielsen BW, Herlin T. Protein-losing enteropathy after the total cavopulmonary connection: impact of intravenous immunoglobulin. Congenit Heart Dis. 2011 Nov-Dec;6(6):624-9. doi: 10.1111/j.1747-0803.2011.00568.x. Epub 2011 Oct 20. PMID: 22010984.</w:t>
      </w:r>
    </w:p>
    <w:p w14:paraId="6882EDE7"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lastRenderedPageBreak/>
        <w:t>Windram JD, Clift PF, Speakman J, et al. An unusual treatment for protein losing enteropathy. Congenit Heart Dis. 2011 May-Jun;6(3):253-6.</w:t>
      </w:r>
    </w:p>
    <w:p w14:paraId="01EDB15B"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Weingarten AJ, Menachem JN, Smith CA, et al. Usefulness of midodrine in protein-losing enteropathy. J Heart Lung Transplant. 2019 Jul;38(7):784-787.</w:t>
      </w:r>
    </w:p>
    <w:p w14:paraId="16B99BE5"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John AS, Phillips SD, Driscoll DJ, et al. The use of octreotide to successfully treat protein-losing enteropathy following the Fontan operation. Congenit Heart Dis. 2011 Nov-Dec;6(6):653-6. doi: 10.1111/j.1747-0803.2011.00518.x. Epub 2011 May 5. PMID: 21545466.</w:t>
      </w:r>
    </w:p>
    <w:p w14:paraId="699E5DA2"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Uzun O, Wong JK, Bhole V, Stumper O. Resolution of protein-losing enteropathy and normalization of mesenteric Doppler flow with sildenafil after Fontan. Ann Thorac Surg. 2006;82:e39–e40.</w:t>
      </w:r>
    </w:p>
    <w:p w14:paraId="7B7AFE98"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Ringel RE, Peddy SB. Effect of high-dose spironolactone on protein-losing enteropathy in patients with Fontan palliation of complex congenital heart disease. Am J Cardiol. 2003 Apr 15;91(8):1031-2, A9. doi: 10.1016/s0002-9149(03)00135-8. PMID: 12686359.</w:t>
      </w:r>
    </w:p>
    <w:p w14:paraId="3885F8E4"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Okano S, Sugimoto M, Takase M, et al. Effectiveness of High-dose Spironolactone Therapy in a Patient with Recurrent Protein-losing Enteropathy after the Fontan Procedure. Intern Med. 2016;55(12):1611-4. doi: 10.2169/internalmedicine.55.6303. Epub 2016 Jun 15. PMID: 27301514.</w:t>
      </w:r>
    </w:p>
    <w:p w14:paraId="06AA1D6C" w14:textId="77777777" w:rsidR="00CA408F" w:rsidRPr="00676F81" w:rsidRDefault="00CA408F" w:rsidP="00C94A2B">
      <w:pPr>
        <w:pStyle w:val="ListParagraph"/>
        <w:numPr>
          <w:ilvl w:val="0"/>
          <w:numId w:val="15"/>
        </w:numPr>
        <w:spacing w:after="160" w:line="259" w:lineRule="auto"/>
        <w:rPr>
          <w:rFonts w:ascii="Arial" w:hAnsi="Arial" w:cs="Arial"/>
          <w:color w:val="707070" w:themeColor="background2" w:themeShade="80"/>
          <w:sz w:val="16"/>
          <w:szCs w:val="16"/>
        </w:rPr>
      </w:pPr>
      <w:r w:rsidRPr="00676F81">
        <w:rPr>
          <w:rFonts w:ascii="Arial" w:hAnsi="Arial" w:cs="Arial"/>
          <w:color w:val="707070" w:themeColor="background2" w:themeShade="80"/>
          <w:sz w:val="16"/>
          <w:szCs w:val="16"/>
        </w:rPr>
        <w:t>Grattan MJ, McCrindle BW. Recurrent exacerbations of protein-losing enteropathy after initiation of growth hormone therapy in a Fontan patient controlled with spironolactone. Congenit Heart Dis. 2010 Mar-Apr;5(2):165-7. doi: 10.1111/j.1747-0803.2009.00320.x. PMID: 20412490.</w:t>
      </w:r>
    </w:p>
    <w:p w14:paraId="157FEF72" w14:textId="77777777" w:rsidR="00676F81" w:rsidRDefault="00676F81" w:rsidP="00256B45">
      <w:pPr>
        <w:spacing w:line="240" w:lineRule="exact"/>
        <w:rPr>
          <w:rFonts w:ascii="Arial" w:hAnsi="Arial" w:cs="Arial"/>
          <w:b/>
          <w:color w:val="578988"/>
          <w:spacing w:val="20"/>
          <w:sz w:val="18"/>
          <w:szCs w:val="18"/>
        </w:rPr>
      </w:pPr>
    </w:p>
    <w:p w14:paraId="0255A782" w14:textId="440BD890"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68A1CFC5" w14:textId="27D48C25" w:rsidR="00256B45" w:rsidRDefault="00CA408F" w:rsidP="00256B45">
      <w:pPr>
        <w:spacing w:line="240" w:lineRule="exact"/>
        <w:rPr>
          <w:rFonts w:ascii="Arial" w:hAnsi="Arial" w:cs="Arial"/>
          <w:color w:val="6C6C6C"/>
          <w:sz w:val="16"/>
          <w:szCs w:val="16"/>
        </w:rPr>
      </w:pPr>
      <w:r w:rsidRPr="00CA408F">
        <w:rPr>
          <w:rFonts w:ascii="Arial" w:hAnsi="Arial" w:cs="Arial"/>
          <w:color w:val="6C6C6C"/>
          <w:sz w:val="16"/>
          <w:szCs w:val="16"/>
        </w:rPr>
        <w:t>Kathleen Simpson, MD &amp; Matthew O’Connor, MD</w:t>
      </w:r>
    </w:p>
    <w:p w14:paraId="275E3BAC" w14:textId="77777777" w:rsidR="00B17807" w:rsidRPr="00256B45" w:rsidRDefault="00B17807" w:rsidP="00256B45">
      <w:pPr>
        <w:spacing w:line="240" w:lineRule="exact"/>
        <w:rPr>
          <w:rFonts w:ascii="Arial" w:hAnsi="Arial" w:cs="Arial"/>
          <w:color w:val="6C6C6C"/>
          <w:sz w:val="16"/>
          <w:szCs w:val="16"/>
        </w:rPr>
      </w:pPr>
    </w:p>
    <w:p w14:paraId="22AC946E"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3AB1CD1B" w14:textId="54C0CDE0" w:rsidR="00256B45" w:rsidRPr="00256B45" w:rsidRDefault="00CA408F" w:rsidP="00256B45">
      <w:pPr>
        <w:spacing w:line="240" w:lineRule="exact"/>
        <w:rPr>
          <w:rFonts w:ascii="Arial" w:hAnsi="Arial" w:cs="Arial"/>
          <w:i/>
          <w:color w:val="6C6C6C"/>
          <w:sz w:val="16"/>
          <w:szCs w:val="16"/>
        </w:rPr>
      </w:pPr>
      <w:r w:rsidRPr="00CA408F">
        <w:rPr>
          <w:rFonts w:ascii="Arial" w:hAnsi="Arial" w:cs="Arial"/>
          <w:color w:val="6C6C6C"/>
          <w:sz w:val="16"/>
          <w:szCs w:val="16"/>
        </w:rPr>
        <w:t>Children’s Hospital Colorado, Children’s Hospital of Philadelphia, Monroe Carell Jr. Children's Hospital, Boston Children’s Hospital, Stollery Children’s Hospital, Phoenix Children's Hospital, Cincinnati Children’s Hospital, Johns Hopkins Health System, C.S. Mott Children’s Hospital, Children’s Hospital of Wisconsin, &amp; The Hospital for Sick Children</w:t>
      </w:r>
    </w:p>
    <w:p w14:paraId="52166491" w14:textId="77777777" w:rsidR="00256B45" w:rsidRDefault="00256B45" w:rsidP="00256B45">
      <w:pPr>
        <w:spacing w:line="240" w:lineRule="exact"/>
        <w:rPr>
          <w:rFonts w:ascii="Arial" w:hAnsi="Arial" w:cs="Arial"/>
          <w:b/>
          <w:i/>
          <w:color w:val="6C6C6C"/>
          <w:sz w:val="16"/>
          <w:szCs w:val="16"/>
        </w:rPr>
      </w:pPr>
    </w:p>
    <w:p w14:paraId="6C2366F7" w14:textId="476C6FAC"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5200F2">
        <w:rPr>
          <w:rFonts w:ascii="Arial" w:hAnsi="Arial" w:cs="Arial"/>
          <w:i/>
          <w:color w:val="6C6C6C"/>
          <w:sz w:val="16"/>
          <w:szCs w:val="16"/>
        </w:rPr>
        <w:t>04/12/2022</w:t>
      </w:r>
      <w:r w:rsidR="0033498B">
        <w:rPr>
          <w:rFonts w:ascii="Arial" w:hAnsi="Arial" w:cs="Arial"/>
          <w:i/>
          <w:color w:val="6C6C6C"/>
          <w:sz w:val="16"/>
          <w:szCs w:val="16"/>
        </w:rPr>
        <w:t>)</w:t>
      </w:r>
    </w:p>
    <w:p w14:paraId="30DA1893" w14:textId="77777777" w:rsidR="00256B45" w:rsidRPr="00256B45" w:rsidRDefault="00256B45" w:rsidP="00256B45">
      <w:pPr>
        <w:spacing w:line="240" w:lineRule="exact"/>
        <w:rPr>
          <w:rFonts w:ascii="Arial" w:hAnsi="Arial" w:cs="Arial"/>
          <w:color w:val="6C6C6C"/>
          <w:sz w:val="16"/>
          <w:szCs w:val="16"/>
        </w:rPr>
      </w:pPr>
    </w:p>
    <w:p w14:paraId="40C353AC" w14:textId="77777777" w:rsidR="00BB6560" w:rsidRPr="00256B45" w:rsidRDefault="00BB6560">
      <w:pPr>
        <w:spacing w:line="240" w:lineRule="exact"/>
        <w:rPr>
          <w:rFonts w:ascii="Arial" w:hAnsi="Arial" w:cs="Arial"/>
          <w:color w:val="6C6C6C"/>
          <w:sz w:val="16"/>
          <w:szCs w:val="16"/>
        </w:rPr>
      </w:pPr>
    </w:p>
    <w:sectPr w:rsidR="00BB6560" w:rsidRPr="00256B45" w:rsidSect="00BB6560">
      <w:headerReference w:type="default" r:id="rId12"/>
      <w:footerReference w:type="default" r:id="rId13"/>
      <w:headerReference w:type="first" r:id="rId14"/>
      <w:footerReference w:type="first" r:id="rId15"/>
      <w:pgSz w:w="12240" w:h="15840"/>
      <w:pgMar w:top="900" w:right="198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F604" w14:textId="77777777" w:rsidR="0035485B" w:rsidRDefault="0035485B" w:rsidP="001F67B8">
      <w:r>
        <w:separator/>
      </w:r>
    </w:p>
  </w:endnote>
  <w:endnote w:type="continuationSeparator" w:id="0">
    <w:p w14:paraId="1D3A66C4" w14:textId="77777777" w:rsidR="0035485B" w:rsidRDefault="0035485B"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978DEB">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79B09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">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30"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1"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2"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3"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C05977">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443B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8404" w14:textId="77777777" w:rsidR="0035485B" w:rsidRDefault="0035485B" w:rsidP="001F67B8">
      <w:r>
        <w:separator/>
      </w:r>
    </w:p>
  </w:footnote>
  <w:footnote w:type="continuationSeparator" w:id="0">
    <w:p w14:paraId="4A0EA56D" w14:textId="77777777" w:rsidR="0035485B" w:rsidRDefault="0035485B"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AC9"/>
    <w:multiLevelType w:val="hybridMultilevel"/>
    <w:tmpl w:val="131E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3F0C"/>
    <w:multiLevelType w:val="hybridMultilevel"/>
    <w:tmpl w:val="D848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B48B2"/>
    <w:multiLevelType w:val="hybridMultilevel"/>
    <w:tmpl w:val="2572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C49A8"/>
    <w:multiLevelType w:val="hybridMultilevel"/>
    <w:tmpl w:val="D180C18A"/>
    <w:lvl w:ilvl="0" w:tplc="04090003">
      <w:start w:val="1"/>
      <w:numFmt w:val="bullet"/>
      <w:lvlText w:val="o"/>
      <w:lvlJc w:val="left"/>
      <w:pPr>
        <w:ind w:left="1080" w:hanging="360"/>
      </w:pPr>
      <w:rPr>
        <w:rFonts w:ascii="Courier New" w:hAnsi="Courier New" w:cs="Courier New" w:hint="default"/>
        <w:b/>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1CA1284">
      <w:start w:val="1"/>
      <w:numFmt w:val="bullet"/>
      <w:lvlText w:val="-"/>
      <w:lvlJc w:val="left"/>
      <w:pPr>
        <w:ind w:left="2520" w:hanging="360"/>
      </w:pPr>
      <w:rPr>
        <w:rFonts w:ascii="Calibri" w:eastAsiaTheme="minorHAnsi" w:hAnsi="Calibri" w:cs="Calibri" w:hint="default"/>
        <w:color w:val="auto"/>
      </w:rPr>
    </w:lvl>
    <w:lvl w:ilvl="4" w:tplc="E03853FC">
      <w:numFmt w:val="bullet"/>
      <w:lvlText w:val="-"/>
      <w:lvlJc w:val="left"/>
      <w:pPr>
        <w:ind w:left="3240" w:hanging="360"/>
      </w:pPr>
      <w:rPr>
        <w:rFonts w:ascii="Arial" w:eastAsiaTheme="minorHAnsi" w:hAnsi="Arial" w:cs="Arial" w:hint="default"/>
        <w:u w:val="none"/>
      </w:rPr>
    </w:lvl>
    <w:lvl w:ilvl="5" w:tplc="04090001">
      <w:start w:val="1"/>
      <w:numFmt w:val="bullet"/>
      <w:lvlText w:val=""/>
      <w:lvlJc w:val="left"/>
      <w:pPr>
        <w:ind w:left="3960" w:hanging="180"/>
      </w:pPr>
      <w:rPr>
        <w:rFonts w:ascii="Symbol" w:hAnsi="Symbol" w:hint="default"/>
      </w:rPr>
    </w:lvl>
    <w:lvl w:ilvl="6" w:tplc="C1A69E30">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A774D"/>
    <w:multiLevelType w:val="hybridMultilevel"/>
    <w:tmpl w:val="3CF27E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D83963"/>
    <w:multiLevelType w:val="hybridMultilevel"/>
    <w:tmpl w:val="8F00658C"/>
    <w:lvl w:ilvl="0" w:tplc="F3ACBE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F1D38"/>
    <w:multiLevelType w:val="hybridMultilevel"/>
    <w:tmpl w:val="69F0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50FB0"/>
    <w:multiLevelType w:val="hybridMultilevel"/>
    <w:tmpl w:val="E72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33B6F"/>
    <w:multiLevelType w:val="hybridMultilevel"/>
    <w:tmpl w:val="18C80E98"/>
    <w:lvl w:ilvl="0" w:tplc="FFFFFFFF">
      <w:start w:val="1"/>
      <w:numFmt w:val="decimal"/>
      <w:lvlText w:val="%1."/>
      <w:lvlJc w:val="left"/>
      <w:pPr>
        <w:ind w:left="720" w:hanging="360"/>
      </w:pPr>
      <w:rPr>
        <w:color w:val="707070" w:themeColor="background2" w:themeShade="80"/>
        <w:sz w:val="20"/>
      </w:rPr>
    </w:lvl>
    <w:lvl w:ilvl="1" w:tplc="FFFFFFFF">
      <w:start w:val="1"/>
      <w:numFmt w:val="lowerLetter"/>
      <w:lvlText w:val="%2."/>
      <w:lvlJc w:val="left"/>
      <w:pPr>
        <w:ind w:left="1260" w:hanging="360"/>
      </w:pPr>
      <w:rPr>
        <w:b w:val="0"/>
        <w:sz w:val="20"/>
      </w:rPr>
    </w:lvl>
    <w:lvl w:ilvl="2" w:tplc="58507936">
      <w:start w:val="1"/>
      <w:numFmt w:val="bullet"/>
      <w:lvlText w:val=""/>
      <w:lvlJc w:val="left"/>
      <w:pPr>
        <w:ind w:left="2340" w:hanging="360"/>
      </w:pPr>
      <w:rPr>
        <w:rFonts w:ascii="Symbol" w:hAnsi="Symbol" w:cs="Symbol" w:hint="default"/>
        <w:sz w:val="15"/>
      </w:rPr>
    </w:lvl>
    <w:lvl w:ilvl="3" w:tplc="FFFFFFFF">
      <w:start w:val="1"/>
      <w:numFmt w:val="bullet"/>
      <w:lvlText w:val="-"/>
      <w:lvlJc w:val="left"/>
      <w:pPr>
        <w:ind w:left="2880" w:hanging="360"/>
      </w:pPr>
      <w:rPr>
        <w:rFonts w:ascii="Calibri" w:eastAsiaTheme="minorHAnsi" w:hAnsi="Calibri" w:cs="Calibri"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183FF2"/>
    <w:multiLevelType w:val="hybridMultilevel"/>
    <w:tmpl w:val="7AA0BB1E"/>
    <w:lvl w:ilvl="0" w:tplc="F3ACBE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54B3A"/>
    <w:multiLevelType w:val="hybridMultilevel"/>
    <w:tmpl w:val="84FC59A2"/>
    <w:lvl w:ilvl="0" w:tplc="01CA1284">
      <w:start w:val="1"/>
      <w:numFmt w:val="bullet"/>
      <w:lvlText w:val="-"/>
      <w:lvlJc w:val="left"/>
      <w:pPr>
        <w:ind w:left="2160" w:hanging="360"/>
      </w:pPr>
      <w:rPr>
        <w:rFonts w:ascii="Calibri" w:eastAsiaTheme="minorHAnsi" w:hAnsi="Calibri" w:cs="Calibri"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C40C7A"/>
    <w:multiLevelType w:val="hybridMultilevel"/>
    <w:tmpl w:val="BCF44DE2"/>
    <w:lvl w:ilvl="0" w:tplc="FFFFFFFF">
      <w:start w:val="1"/>
      <w:numFmt w:val="decimal"/>
      <w:lvlText w:val="%1."/>
      <w:lvlJc w:val="left"/>
      <w:pPr>
        <w:ind w:left="720" w:hanging="360"/>
      </w:pPr>
      <w:rPr>
        <w:color w:val="707070" w:themeColor="background2" w:themeShade="80"/>
        <w:sz w:val="20"/>
      </w:rPr>
    </w:lvl>
    <w:lvl w:ilvl="1" w:tplc="FFFFFFFF">
      <w:start w:val="1"/>
      <w:numFmt w:val="lowerLetter"/>
      <w:lvlText w:val="%2."/>
      <w:lvlJc w:val="left"/>
      <w:pPr>
        <w:ind w:left="1260" w:hanging="360"/>
      </w:pPr>
      <w:rPr>
        <w:b w:val="0"/>
        <w:sz w:val="20"/>
      </w:rPr>
    </w:lvl>
    <w:lvl w:ilvl="2" w:tplc="FFFFFFFF">
      <w:start w:val="1"/>
      <w:numFmt w:val="bullet"/>
      <w:lvlText w:val="-"/>
      <w:lvlJc w:val="left"/>
      <w:pPr>
        <w:ind w:left="2340" w:hanging="360"/>
      </w:pPr>
      <w:rPr>
        <w:rFonts w:ascii="Calibri" w:eastAsiaTheme="minorHAnsi" w:hAnsi="Calibri" w:cs="Calibri" w:hint="default"/>
        <w:color w:val="auto"/>
      </w:rPr>
    </w:lvl>
    <w:lvl w:ilvl="3" w:tplc="58507936">
      <w:start w:val="1"/>
      <w:numFmt w:val="bullet"/>
      <w:lvlText w:val=""/>
      <w:lvlJc w:val="left"/>
      <w:pPr>
        <w:ind w:left="2340" w:hanging="360"/>
      </w:pPr>
      <w:rPr>
        <w:rFonts w:ascii="Symbol" w:hAnsi="Symbol" w:cs="Symbol" w:hint="default"/>
        <w:sz w:val="15"/>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3902B8"/>
    <w:multiLevelType w:val="hybridMultilevel"/>
    <w:tmpl w:val="FAD2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15B22"/>
    <w:multiLevelType w:val="hybridMultilevel"/>
    <w:tmpl w:val="64F2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644BB"/>
    <w:multiLevelType w:val="hybridMultilevel"/>
    <w:tmpl w:val="072C8D5A"/>
    <w:lvl w:ilvl="0" w:tplc="FFFFFFFF">
      <w:start w:val="1"/>
      <w:numFmt w:val="decimal"/>
      <w:lvlText w:val="%1."/>
      <w:lvlJc w:val="left"/>
      <w:pPr>
        <w:ind w:left="720" w:hanging="360"/>
      </w:pPr>
      <w:rPr>
        <w:color w:val="707070" w:themeColor="background2" w:themeShade="80"/>
        <w:sz w:val="20"/>
      </w:rPr>
    </w:lvl>
    <w:lvl w:ilvl="1" w:tplc="FFFFFFFF">
      <w:start w:val="1"/>
      <w:numFmt w:val="lowerLetter"/>
      <w:lvlText w:val="%2."/>
      <w:lvlJc w:val="left"/>
      <w:pPr>
        <w:ind w:left="1260" w:hanging="360"/>
      </w:pPr>
      <w:rPr>
        <w:b w:val="0"/>
        <w:sz w:val="20"/>
      </w:rPr>
    </w:lvl>
    <w:lvl w:ilvl="2" w:tplc="FFFFFFFF">
      <w:start w:val="1"/>
      <w:numFmt w:val="bullet"/>
      <w:lvlText w:val="-"/>
      <w:lvlJc w:val="left"/>
      <w:pPr>
        <w:ind w:left="2160" w:hanging="180"/>
      </w:pPr>
      <w:rPr>
        <w:rFonts w:ascii="Calibri" w:eastAsiaTheme="minorHAnsi" w:hAnsi="Calibri" w:cs="Calibri" w:hint="default"/>
        <w:color w:val="auto"/>
      </w:rPr>
    </w:lvl>
    <w:lvl w:ilvl="3" w:tplc="58507936">
      <w:start w:val="1"/>
      <w:numFmt w:val="bullet"/>
      <w:lvlText w:val=""/>
      <w:lvlJc w:val="left"/>
      <w:pPr>
        <w:ind w:left="1800" w:hanging="360"/>
      </w:pPr>
      <w:rPr>
        <w:rFonts w:ascii="Symbol" w:hAnsi="Symbol" w:cs="Symbol" w:hint="default"/>
        <w:sz w:val="15"/>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4B6145"/>
    <w:multiLevelType w:val="hybridMultilevel"/>
    <w:tmpl w:val="354C2E8E"/>
    <w:lvl w:ilvl="0" w:tplc="FFFFFFFF">
      <w:start w:val="1"/>
      <w:numFmt w:val="decimal"/>
      <w:lvlText w:val="%1."/>
      <w:lvlJc w:val="left"/>
      <w:pPr>
        <w:ind w:left="720" w:hanging="360"/>
      </w:pPr>
      <w:rPr>
        <w:color w:val="707070" w:themeColor="background2" w:themeShade="80"/>
        <w:sz w:val="20"/>
      </w:rPr>
    </w:lvl>
    <w:lvl w:ilvl="1" w:tplc="FFFFFFFF">
      <w:start w:val="1"/>
      <w:numFmt w:val="lowerLetter"/>
      <w:lvlText w:val="%2."/>
      <w:lvlJc w:val="left"/>
      <w:pPr>
        <w:ind w:left="1260" w:hanging="360"/>
      </w:pPr>
      <w:rPr>
        <w:b w:val="0"/>
        <w:sz w:val="20"/>
      </w:rPr>
    </w:lvl>
    <w:lvl w:ilvl="2" w:tplc="FFFFFFFF">
      <w:start w:val="1"/>
      <w:numFmt w:val="bullet"/>
      <w:lvlText w:val="-"/>
      <w:lvlJc w:val="left"/>
      <w:pPr>
        <w:ind w:left="2340" w:hanging="360"/>
      </w:pPr>
      <w:rPr>
        <w:rFonts w:ascii="Calibri" w:eastAsiaTheme="minorHAnsi" w:hAnsi="Calibri" w:cs="Calibri" w:hint="default"/>
        <w:color w:val="auto"/>
      </w:rPr>
    </w:lvl>
    <w:lvl w:ilvl="3" w:tplc="58507936">
      <w:start w:val="1"/>
      <w:numFmt w:val="bullet"/>
      <w:lvlText w:val=""/>
      <w:lvlJc w:val="left"/>
      <w:pPr>
        <w:ind w:left="2340" w:hanging="360"/>
      </w:pPr>
      <w:rPr>
        <w:rFonts w:ascii="Symbol" w:hAnsi="Symbol" w:cs="Symbol" w:hint="default"/>
        <w:sz w:val="15"/>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6B3020"/>
    <w:multiLevelType w:val="hybridMultilevel"/>
    <w:tmpl w:val="EA962518"/>
    <w:lvl w:ilvl="0" w:tplc="A984B126">
      <w:start w:val="1"/>
      <w:numFmt w:val="decimal"/>
      <w:lvlText w:val="%1."/>
      <w:lvlJc w:val="left"/>
      <w:pPr>
        <w:ind w:left="720" w:hanging="360"/>
      </w:pPr>
      <w:rPr>
        <w:color w:val="707070" w:themeColor="background2" w:themeShade="80"/>
        <w:sz w:val="20"/>
      </w:rPr>
    </w:lvl>
    <w:lvl w:ilvl="1" w:tplc="9DFE8D6E">
      <w:start w:val="1"/>
      <w:numFmt w:val="lowerLetter"/>
      <w:lvlText w:val="%2."/>
      <w:lvlJc w:val="left"/>
      <w:pPr>
        <w:ind w:left="1260" w:hanging="360"/>
      </w:pPr>
      <w:rPr>
        <w:b w:val="0"/>
        <w:sz w:val="20"/>
      </w:rPr>
    </w:lvl>
    <w:lvl w:ilvl="2" w:tplc="01CA1284">
      <w:start w:val="1"/>
      <w:numFmt w:val="bullet"/>
      <w:lvlText w:val="-"/>
      <w:lvlJc w:val="left"/>
      <w:pPr>
        <w:ind w:left="2340" w:hanging="360"/>
      </w:pPr>
      <w:rPr>
        <w:rFonts w:ascii="Calibri" w:eastAsiaTheme="minorHAnsi" w:hAnsi="Calibri" w:cs="Calibri" w:hint="default"/>
        <w:color w:val="auto"/>
      </w:rPr>
    </w:lvl>
    <w:lvl w:ilvl="3" w:tplc="01CA1284">
      <w:start w:val="1"/>
      <w:numFmt w:val="bullet"/>
      <w:lvlText w:val="-"/>
      <w:lvlJc w:val="left"/>
      <w:pPr>
        <w:ind w:left="2880" w:hanging="360"/>
      </w:pPr>
      <w:rPr>
        <w:rFonts w:ascii="Calibri" w:eastAsiaTheme="minorHAnsi"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E0F1E"/>
    <w:multiLevelType w:val="hybridMultilevel"/>
    <w:tmpl w:val="6732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3100B"/>
    <w:multiLevelType w:val="hybridMultilevel"/>
    <w:tmpl w:val="1C986478"/>
    <w:lvl w:ilvl="0" w:tplc="01CA1284">
      <w:start w:val="1"/>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4114">
    <w:abstractNumId w:val="16"/>
  </w:num>
  <w:num w:numId="2" w16cid:durableId="1377243368">
    <w:abstractNumId w:val="4"/>
  </w:num>
  <w:num w:numId="3" w16cid:durableId="1311206590">
    <w:abstractNumId w:val="10"/>
  </w:num>
  <w:num w:numId="4" w16cid:durableId="1177891463">
    <w:abstractNumId w:val="13"/>
  </w:num>
  <w:num w:numId="5" w16cid:durableId="255020552">
    <w:abstractNumId w:val="12"/>
  </w:num>
  <w:num w:numId="6" w16cid:durableId="1219901759">
    <w:abstractNumId w:val="17"/>
  </w:num>
  <w:num w:numId="7" w16cid:durableId="870731516">
    <w:abstractNumId w:val="0"/>
  </w:num>
  <w:num w:numId="8" w16cid:durableId="207644397">
    <w:abstractNumId w:val="7"/>
  </w:num>
  <w:num w:numId="9" w16cid:durableId="1835609452">
    <w:abstractNumId w:val="18"/>
  </w:num>
  <w:num w:numId="10" w16cid:durableId="1917010988">
    <w:abstractNumId w:val="9"/>
  </w:num>
  <w:num w:numId="11" w16cid:durableId="1410882320">
    <w:abstractNumId w:val="2"/>
  </w:num>
  <w:num w:numId="12" w16cid:durableId="673186138">
    <w:abstractNumId w:val="6"/>
  </w:num>
  <w:num w:numId="13" w16cid:durableId="49890070">
    <w:abstractNumId w:val="5"/>
  </w:num>
  <w:num w:numId="14" w16cid:durableId="1096636287">
    <w:abstractNumId w:val="3"/>
  </w:num>
  <w:num w:numId="15" w16cid:durableId="1689911751">
    <w:abstractNumId w:val="1"/>
  </w:num>
  <w:num w:numId="16" w16cid:durableId="1975872285">
    <w:abstractNumId w:val="14"/>
  </w:num>
  <w:num w:numId="17" w16cid:durableId="1105617115">
    <w:abstractNumId w:val="8"/>
  </w:num>
  <w:num w:numId="18" w16cid:durableId="1414473148">
    <w:abstractNumId w:val="11"/>
  </w:num>
  <w:num w:numId="19" w16cid:durableId="172197880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7530"/>
    <w:rsid w:val="00022A7A"/>
    <w:rsid w:val="000617A3"/>
    <w:rsid w:val="00065829"/>
    <w:rsid w:val="00072EEA"/>
    <w:rsid w:val="00075485"/>
    <w:rsid w:val="000A072E"/>
    <w:rsid w:val="000A6BAC"/>
    <w:rsid w:val="000D2867"/>
    <w:rsid w:val="000D64C4"/>
    <w:rsid w:val="001315A0"/>
    <w:rsid w:val="001333C3"/>
    <w:rsid w:val="00136836"/>
    <w:rsid w:val="0014302C"/>
    <w:rsid w:val="0014532E"/>
    <w:rsid w:val="00150197"/>
    <w:rsid w:val="00160D28"/>
    <w:rsid w:val="00167DDF"/>
    <w:rsid w:val="00192198"/>
    <w:rsid w:val="001C0CF1"/>
    <w:rsid w:val="001D02C3"/>
    <w:rsid w:val="001D76EE"/>
    <w:rsid w:val="001E16CF"/>
    <w:rsid w:val="001F67B8"/>
    <w:rsid w:val="002254C1"/>
    <w:rsid w:val="00256B45"/>
    <w:rsid w:val="00256E9F"/>
    <w:rsid w:val="0026196D"/>
    <w:rsid w:val="002F357E"/>
    <w:rsid w:val="00302BB6"/>
    <w:rsid w:val="00303239"/>
    <w:rsid w:val="003045EF"/>
    <w:rsid w:val="00317DD9"/>
    <w:rsid w:val="0033498B"/>
    <w:rsid w:val="00342D03"/>
    <w:rsid w:val="003514FD"/>
    <w:rsid w:val="0035485B"/>
    <w:rsid w:val="00361191"/>
    <w:rsid w:val="003635D4"/>
    <w:rsid w:val="0036544B"/>
    <w:rsid w:val="003817FD"/>
    <w:rsid w:val="003835E5"/>
    <w:rsid w:val="003919B0"/>
    <w:rsid w:val="003A60D2"/>
    <w:rsid w:val="003B7842"/>
    <w:rsid w:val="003D302F"/>
    <w:rsid w:val="003D5A50"/>
    <w:rsid w:val="003F70E1"/>
    <w:rsid w:val="00400431"/>
    <w:rsid w:val="0041226A"/>
    <w:rsid w:val="004421C9"/>
    <w:rsid w:val="00447BB4"/>
    <w:rsid w:val="00451F97"/>
    <w:rsid w:val="00452050"/>
    <w:rsid w:val="00454D58"/>
    <w:rsid w:val="00457589"/>
    <w:rsid w:val="004801B2"/>
    <w:rsid w:val="004A1FBF"/>
    <w:rsid w:val="004A2124"/>
    <w:rsid w:val="004A7A7E"/>
    <w:rsid w:val="004E6BBE"/>
    <w:rsid w:val="004F1A2A"/>
    <w:rsid w:val="004F7453"/>
    <w:rsid w:val="005107E4"/>
    <w:rsid w:val="005200F2"/>
    <w:rsid w:val="00543104"/>
    <w:rsid w:val="00545810"/>
    <w:rsid w:val="005478D5"/>
    <w:rsid w:val="0055136D"/>
    <w:rsid w:val="00565F5A"/>
    <w:rsid w:val="00581807"/>
    <w:rsid w:val="00594BDE"/>
    <w:rsid w:val="005A0D5F"/>
    <w:rsid w:val="005A24E8"/>
    <w:rsid w:val="005C3C9E"/>
    <w:rsid w:val="006701F5"/>
    <w:rsid w:val="00675B36"/>
    <w:rsid w:val="00676F81"/>
    <w:rsid w:val="006771AB"/>
    <w:rsid w:val="006B753E"/>
    <w:rsid w:val="006C57F9"/>
    <w:rsid w:val="006E0024"/>
    <w:rsid w:val="006E4304"/>
    <w:rsid w:val="00701A67"/>
    <w:rsid w:val="007575DC"/>
    <w:rsid w:val="00782605"/>
    <w:rsid w:val="007B522E"/>
    <w:rsid w:val="007B544F"/>
    <w:rsid w:val="007C72D5"/>
    <w:rsid w:val="007C7746"/>
    <w:rsid w:val="007C79E3"/>
    <w:rsid w:val="00800FD4"/>
    <w:rsid w:val="00801C76"/>
    <w:rsid w:val="00831422"/>
    <w:rsid w:val="00850813"/>
    <w:rsid w:val="00871340"/>
    <w:rsid w:val="008734CA"/>
    <w:rsid w:val="0087669E"/>
    <w:rsid w:val="00886A60"/>
    <w:rsid w:val="00886D84"/>
    <w:rsid w:val="00892188"/>
    <w:rsid w:val="00895D65"/>
    <w:rsid w:val="008B0504"/>
    <w:rsid w:val="008B4FB7"/>
    <w:rsid w:val="008C0EE8"/>
    <w:rsid w:val="008D2C90"/>
    <w:rsid w:val="008D68D3"/>
    <w:rsid w:val="00906150"/>
    <w:rsid w:val="00915F99"/>
    <w:rsid w:val="0093236D"/>
    <w:rsid w:val="0095436B"/>
    <w:rsid w:val="00962F85"/>
    <w:rsid w:val="00984F02"/>
    <w:rsid w:val="009A207A"/>
    <w:rsid w:val="009A2233"/>
    <w:rsid w:val="009B1CA4"/>
    <w:rsid w:val="009B5B8B"/>
    <w:rsid w:val="009D11D3"/>
    <w:rsid w:val="009D5CD9"/>
    <w:rsid w:val="00A052A3"/>
    <w:rsid w:val="00A06B38"/>
    <w:rsid w:val="00A13E7B"/>
    <w:rsid w:val="00A90CE2"/>
    <w:rsid w:val="00A959CF"/>
    <w:rsid w:val="00AC637F"/>
    <w:rsid w:val="00AD01B5"/>
    <w:rsid w:val="00AD0D87"/>
    <w:rsid w:val="00AE24A6"/>
    <w:rsid w:val="00AE3D29"/>
    <w:rsid w:val="00B17807"/>
    <w:rsid w:val="00B415AA"/>
    <w:rsid w:val="00B60493"/>
    <w:rsid w:val="00B60C4B"/>
    <w:rsid w:val="00B6796D"/>
    <w:rsid w:val="00B73D6A"/>
    <w:rsid w:val="00B857C5"/>
    <w:rsid w:val="00B85E49"/>
    <w:rsid w:val="00B86C88"/>
    <w:rsid w:val="00BA49F3"/>
    <w:rsid w:val="00BA4FE4"/>
    <w:rsid w:val="00BB1E09"/>
    <w:rsid w:val="00BB6560"/>
    <w:rsid w:val="00BD6787"/>
    <w:rsid w:val="00BD7DDB"/>
    <w:rsid w:val="00BE77E5"/>
    <w:rsid w:val="00C32898"/>
    <w:rsid w:val="00C43F82"/>
    <w:rsid w:val="00C57251"/>
    <w:rsid w:val="00C7326C"/>
    <w:rsid w:val="00C741D6"/>
    <w:rsid w:val="00C94A2B"/>
    <w:rsid w:val="00CA408F"/>
    <w:rsid w:val="00CB064E"/>
    <w:rsid w:val="00CB1BE2"/>
    <w:rsid w:val="00CC3167"/>
    <w:rsid w:val="00CF4B0E"/>
    <w:rsid w:val="00D00493"/>
    <w:rsid w:val="00D01928"/>
    <w:rsid w:val="00D3510F"/>
    <w:rsid w:val="00D37E07"/>
    <w:rsid w:val="00D508CC"/>
    <w:rsid w:val="00D609E4"/>
    <w:rsid w:val="00D67398"/>
    <w:rsid w:val="00D7548A"/>
    <w:rsid w:val="00D76FC1"/>
    <w:rsid w:val="00DA2565"/>
    <w:rsid w:val="00DD42AB"/>
    <w:rsid w:val="00DD4672"/>
    <w:rsid w:val="00DF3523"/>
    <w:rsid w:val="00E20A57"/>
    <w:rsid w:val="00EC044F"/>
    <w:rsid w:val="00EC2695"/>
    <w:rsid w:val="00ED3883"/>
    <w:rsid w:val="00EF5B53"/>
    <w:rsid w:val="00F043A4"/>
    <w:rsid w:val="00F100F5"/>
    <w:rsid w:val="00F25D13"/>
    <w:rsid w:val="00F33DDC"/>
    <w:rsid w:val="00F858A4"/>
    <w:rsid w:val="00FB32D1"/>
    <w:rsid w:val="00FC694F"/>
    <w:rsid w:val="00FC6A57"/>
    <w:rsid w:val="00FD7F1D"/>
    <w:rsid w:val="00FE03A2"/>
    <w:rsid w:val="39F5D2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customStyle="1" w:styleId="NoSpacing1">
    <w:name w:val="No Spacing1"/>
    <w:next w:val="NoSpacing"/>
    <w:uiPriority w:val="1"/>
    <w:qFormat/>
    <w:rsid w:val="00DA2565"/>
    <w:rPr>
      <w:sz w:val="22"/>
      <w:szCs w:val="22"/>
    </w:rPr>
  </w:style>
  <w:style w:type="paragraph" w:styleId="NoSpacing">
    <w:name w:val="No Spacing"/>
    <w:uiPriority w:val="1"/>
    <w:qFormat/>
    <w:rsid w:val="00DA2565"/>
  </w:style>
  <w:style w:type="table" w:styleId="TableGrid">
    <w:name w:val="Table Grid"/>
    <w:basedOn w:val="TableNormal"/>
    <w:uiPriority w:val="39"/>
    <w:rsid w:val="00DA25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254C1"/>
    <w:rPr>
      <w:sz w:val="22"/>
      <w:szCs w:val="22"/>
    </w:rPr>
    <w:tblPr>
      <w:tblStyleRowBandSize w:val="1"/>
      <w:tblStyleColBandSize w:val="1"/>
      <w:tblBorders>
        <w:top w:val="single" w:sz="4" w:space="0" w:color="97BEC2" w:themeColor="accent1" w:themeTint="99"/>
        <w:left w:val="single" w:sz="4" w:space="0" w:color="97BEC2" w:themeColor="accent1" w:themeTint="99"/>
        <w:bottom w:val="single" w:sz="4" w:space="0" w:color="97BEC2" w:themeColor="accent1" w:themeTint="99"/>
        <w:right w:val="single" w:sz="4" w:space="0" w:color="97BEC2" w:themeColor="accent1" w:themeTint="99"/>
        <w:insideH w:val="single" w:sz="4" w:space="0" w:color="97BEC2" w:themeColor="accent1" w:themeTint="99"/>
        <w:insideV w:val="single" w:sz="4" w:space="0" w:color="97BEC2" w:themeColor="accent1" w:themeTint="99"/>
      </w:tblBorders>
    </w:tblPr>
    <w:tblStylePr w:type="firstRow">
      <w:rPr>
        <w:b/>
        <w:bCs/>
        <w:color w:val="FFFFFF" w:themeColor="background1"/>
      </w:rPr>
      <w:tblPr/>
      <w:tcPr>
        <w:tcBorders>
          <w:top w:val="single" w:sz="4" w:space="0" w:color="589095" w:themeColor="accent1"/>
          <w:left w:val="single" w:sz="4" w:space="0" w:color="589095" w:themeColor="accent1"/>
          <w:bottom w:val="single" w:sz="4" w:space="0" w:color="589095" w:themeColor="accent1"/>
          <w:right w:val="single" w:sz="4" w:space="0" w:color="589095" w:themeColor="accent1"/>
          <w:insideH w:val="nil"/>
          <w:insideV w:val="nil"/>
        </w:tcBorders>
        <w:shd w:val="clear" w:color="auto" w:fill="589095" w:themeFill="accent1"/>
      </w:tcPr>
    </w:tblStylePr>
    <w:tblStylePr w:type="lastRow">
      <w:rPr>
        <w:b/>
        <w:bCs/>
      </w:rPr>
      <w:tblPr/>
      <w:tcPr>
        <w:tcBorders>
          <w:top w:val="double" w:sz="4" w:space="0" w:color="589095" w:themeColor="accent1"/>
        </w:tcBorders>
      </w:tcPr>
    </w:tblStylePr>
    <w:tblStylePr w:type="firstCol">
      <w:rPr>
        <w:b/>
        <w:bCs/>
      </w:rPr>
    </w:tblStylePr>
    <w:tblStylePr w:type="lastCol">
      <w:rPr>
        <w:b/>
        <w:bCs/>
      </w:rPr>
    </w:tblStylePr>
    <w:tblStylePr w:type="band1Vert">
      <w:tblPr/>
      <w:tcPr>
        <w:shd w:val="clear" w:color="auto" w:fill="DCE9EA" w:themeFill="accent1" w:themeFillTint="33"/>
      </w:tcPr>
    </w:tblStylePr>
    <w:tblStylePr w:type="band1Horz">
      <w:tblPr/>
      <w:tcPr>
        <w:shd w:val="clear" w:color="auto" w:fill="DCE9EA" w:themeFill="accent1" w:themeFillTint="33"/>
      </w:tcPr>
    </w:tblStylePr>
  </w:style>
  <w:style w:type="paragraph" w:styleId="Revision">
    <w:name w:val="Revision"/>
    <w:hidden/>
    <w:uiPriority w:val="99"/>
    <w:semiHidden/>
    <w:rsid w:val="00D5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ustom 8">
      <a:dk1>
        <a:srgbClr val="777777"/>
      </a:dk1>
      <a:lt1>
        <a:srgbClr val="FFFFFF"/>
      </a:lt1>
      <a:dk2>
        <a:srgbClr val="71AECE"/>
      </a:dk2>
      <a:lt2>
        <a:srgbClr val="E0E0E0"/>
      </a:lt2>
      <a:accent1>
        <a:srgbClr val="589095"/>
      </a:accent1>
      <a:accent2>
        <a:srgbClr val="7CC8C5"/>
      </a:accent2>
      <a:accent3>
        <a:srgbClr val="E0DA3C"/>
      </a:accent3>
      <a:accent4>
        <a:srgbClr val="F79548"/>
      </a:accent4>
      <a:accent5>
        <a:srgbClr val="C76BAB"/>
      </a:accent5>
      <a:accent6>
        <a:srgbClr val="7670B3"/>
      </a:accent6>
      <a:hlink>
        <a:srgbClr val="B86399"/>
      </a:hlink>
      <a:folHlink>
        <a:srgbClr val="71AECE"/>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FD13B-0FE9-4E98-8F32-78C31A95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3087</Words>
  <Characters>17598</Characters>
  <Application>Microsoft Office Word</Application>
  <DocSecurity>0</DocSecurity>
  <Lines>146</Lines>
  <Paragraphs>41</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34</cp:revision>
  <cp:lastPrinted>2024-09-12T19:08:00Z</cp:lastPrinted>
  <dcterms:created xsi:type="dcterms:W3CDTF">2024-09-16T15:08:00Z</dcterms:created>
  <dcterms:modified xsi:type="dcterms:W3CDTF">2025-01-23T16:06:00Z</dcterms:modified>
</cp:coreProperties>
</file>