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32EAB200" w:rsidR="001F67B8" w:rsidRPr="00E24980" w:rsidRDefault="00B857C5" w:rsidP="007C79E3">
      <w:pPr>
        <w:ind w:left="-360"/>
        <w:rPr>
          <w:rFonts w:ascii="Arial" w:hAnsi="Arial" w:cs="Arial"/>
        </w:rPr>
      </w:pPr>
      <w:r w:rsidRPr="00E24980">
        <w:rPr>
          <w:rFonts w:ascii="Arial" w:hAnsi="Arial" w:cs="Arial"/>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728D1869" w:rsidR="00454D58" w:rsidRPr="00454D58" w:rsidRDefault="00FD0392" w:rsidP="00454D58">
                            <w:pPr>
                              <w:spacing w:line="440" w:lineRule="atLeast"/>
                              <w:rPr>
                                <w:rFonts w:ascii="Arial" w:hAnsi="Arial" w:cs="Arial"/>
                                <w:color w:val="578988"/>
                                <w:sz w:val="36"/>
                                <w:szCs w:val="36"/>
                              </w:rPr>
                            </w:pPr>
                            <w:r w:rsidRPr="00FD0392">
                              <w:rPr>
                                <w:rFonts w:ascii="Arial" w:hAnsi="Arial" w:cs="Arial"/>
                                <w:color w:val="578988"/>
                                <w:sz w:val="36"/>
                                <w:szCs w:val="36"/>
                              </w:rPr>
                              <w:t>SODIUM-GLUCOSE COSTRANSPORTER-2 INHIBITORS (SGLT2i)</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16F7DE94" w14:textId="728D1869" w:rsidR="00454D58" w:rsidRPr="00454D58" w:rsidRDefault="00FD0392" w:rsidP="00454D58">
                      <w:pPr>
                        <w:spacing w:line="440" w:lineRule="atLeast"/>
                        <w:rPr>
                          <w:rFonts w:ascii="Arial" w:hAnsi="Arial" w:cs="Arial"/>
                          <w:color w:val="578988"/>
                          <w:sz w:val="36"/>
                          <w:szCs w:val="36"/>
                        </w:rPr>
                      </w:pPr>
                      <w:r w:rsidRPr="00FD0392">
                        <w:rPr>
                          <w:rFonts w:ascii="Arial" w:hAnsi="Arial" w:cs="Arial"/>
                          <w:color w:val="578988"/>
                          <w:sz w:val="36"/>
                          <w:szCs w:val="36"/>
                        </w:rPr>
                        <w:t>SODIUM-GLUCOSE COSTRANSPORTER-2 INHIBITORS (SGLT2i)</w:t>
                      </w:r>
                    </w:p>
                  </w:txbxContent>
                </v:textbox>
                <w10:wrap anchory="page"/>
              </v:shape>
            </w:pict>
          </mc:Fallback>
        </mc:AlternateContent>
      </w:r>
    </w:p>
    <w:p w14:paraId="2024BE4F" w14:textId="77777777" w:rsidR="001F67B8" w:rsidRPr="00E24980" w:rsidRDefault="001F67B8" w:rsidP="007C79E3">
      <w:pPr>
        <w:ind w:left="-360"/>
        <w:rPr>
          <w:rFonts w:ascii="Arial" w:hAnsi="Arial" w:cs="Arial"/>
        </w:rPr>
      </w:pPr>
    </w:p>
    <w:p w14:paraId="3CA5AF0C" w14:textId="77777777" w:rsidR="001F67B8" w:rsidRPr="00E24980" w:rsidRDefault="001F67B8" w:rsidP="007C79E3">
      <w:pPr>
        <w:ind w:left="-360"/>
        <w:rPr>
          <w:rFonts w:ascii="Arial" w:hAnsi="Arial" w:cs="Arial"/>
        </w:rPr>
      </w:pPr>
    </w:p>
    <w:p w14:paraId="3B392ABD" w14:textId="77777777" w:rsidR="007575DC" w:rsidRPr="00E24980" w:rsidRDefault="007575DC" w:rsidP="007575DC">
      <w:pPr>
        <w:spacing w:line="240" w:lineRule="exact"/>
        <w:rPr>
          <w:rFonts w:ascii="Arial" w:hAnsi="Arial" w:cs="Arial"/>
        </w:rPr>
      </w:pPr>
    </w:p>
    <w:p w14:paraId="1B296429" w14:textId="70BB8A5B" w:rsidR="009B5B8B" w:rsidRPr="00E24980" w:rsidRDefault="00FD0392" w:rsidP="007575DC">
      <w:pPr>
        <w:spacing w:line="240" w:lineRule="exact"/>
        <w:rPr>
          <w:rFonts w:ascii="Arial" w:hAnsi="Arial" w:cs="Arial"/>
        </w:rPr>
      </w:pPr>
      <w:r w:rsidRPr="00E24980">
        <w:rPr>
          <w:rFonts w:ascii="Arial" w:hAnsi="Arial" w:cs="Arial"/>
          <w:noProof/>
        </w:rPr>
        <mc:AlternateContent>
          <mc:Choice Requires="wps">
            <w:drawing>
              <wp:anchor distT="0" distB="0" distL="114300" distR="114300" simplePos="0" relativeHeight="251659264" behindDoc="1" locked="0" layoutInCell="1" allowOverlap="1" wp14:anchorId="1BF6224C" wp14:editId="55F889FD">
                <wp:simplePos x="0" y="0"/>
                <wp:positionH relativeFrom="page">
                  <wp:posOffset>0</wp:posOffset>
                </wp:positionH>
                <wp:positionV relativeFrom="page">
                  <wp:posOffset>1556794</wp:posOffset>
                </wp:positionV>
                <wp:extent cx="7891145" cy="1412111"/>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1412111"/>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BF6224C" id="Rectangle 2" o:spid="_x0000_s1027" style="position:absolute;margin-left:0;margin-top:122.6pt;width:621.35pt;height:11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&#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1DF44805" w14:textId="77777777" w:rsidR="00B857C5" w:rsidRPr="00E24980" w:rsidRDefault="00B857C5" w:rsidP="007575DC">
      <w:pPr>
        <w:spacing w:line="240" w:lineRule="exact"/>
        <w:rPr>
          <w:rFonts w:ascii="Arial" w:hAnsi="Arial" w:cs="Arial"/>
          <w:b/>
          <w:color w:val="578988"/>
          <w:spacing w:val="20"/>
          <w:sz w:val="18"/>
          <w:szCs w:val="18"/>
        </w:rPr>
      </w:pPr>
      <w:r w:rsidRPr="00E24980">
        <w:rPr>
          <w:rFonts w:ascii="Arial" w:hAnsi="Arial" w:cs="Arial"/>
          <w:noProof/>
        </w:rPr>
        <mc:AlternateContent>
          <mc:Choice Requires="wps">
            <w:drawing>
              <wp:anchor distT="0" distB="0" distL="0" distR="114300" simplePos="0" relativeHeight="251660288" behindDoc="0" locked="0" layoutInCell="1" allowOverlap="1" wp14:anchorId="0FD187F4" wp14:editId="45176396">
                <wp:simplePos x="0" y="0"/>
                <wp:positionH relativeFrom="page">
                  <wp:posOffset>570368</wp:posOffset>
                </wp:positionH>
                <wp:positionV relativeFrom="page">
                  <wp:posOffset>1629623</wp:posOffset>
                </wp:positionV>
                <wp:extent cx="6638544" cy="1231271"/>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6638544" cy="123127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79BF0EC2" w:rsidR="001F67B8" w:rsidRPr="00FD0392" w:rsidRDefault="00FD0392" w:rsidP="00B857C5">
                            <w:pPr>
                              <w:spacing w:line="280" w:lineRule="exact"/>
                              <w:rPr>
                                <w:rFonts w:ascii="Arial" w:hAnsi="Arial" w:cs="Arial"/>
                                <w:color w:val="6C6C6C"/>
                                <w:sz w:val="20"/>
                                <w:szCs w:val="20"/>
                              </w:rPr>
                            </w:pPr>
                            <w:r w:rsidRPr="00FD0392">
                              <w:rPr>
                                <w:rFonts w:ascii="Arial" w:hAnsi="Arial" w:cs="Arial"/>
                                <w:color w:val="6C6C6C"/>
                                <w:sz w:val="20"/>
                                <w:szCs w:val="20"/>
                              </w:rPr>
                              <w:t>There are no significant data on the benefit of SGLT2i in pediatric patients with heart failure (HF), although growing literature strongly supports the use of SGLT2i in adults with HF with either reduced or preserved ejection fraction.</w:t>
                            </w:r>
                            <w:r w:rsidRPr="00FD0392">
                              <w:rPr>
                                <w:rFonts w:ascii="Arial" w:hAnsi="Arial" w:cs="Arial"/>
                                <w:color w:val="6C6C6C"/>
                                <w:sz w:val="20"/>
                                <w:szCs w:val="20"/>
                                <w:vertAlign w:val="superscript"/>
                              </w:rPr>
                              <w:t>1,2</w:t>
                            </w:r>
                            <w:r w:rsidRPr="00FD0392">
                              <w:rPr>
                                <w:rFonts w:ascii="Arial" w:hAnsi="Arial" w:cs="Arial"/>
                                <w:color w:val="6C6C6C"/>
                                <w:sz w:val="20"/>
                                <w:szCs w:val="20"/>
                              </w:rPr>
                              <w:t xml:space="preserve"> The joint ACA/ACC/HFSA guidelines on management of HF includes the use of SGLT2i in adults with HFrEF as a class I recommendation.</w:t>
                            </w:r>
                            <w:r w:rsidRPr="00FD0392">
                              <w:rPr>
                                <w:rFonts w:ascii="Arial" w:hAnsi="Arial" w:cs="Arial"/>
                                <w:color w:val="6C6C6C"/>
                                <w:sz w:val="20"/>
                                <w:szCs w:val="20"/>
                                <w:vertAlign w:val="superscript"/>
                              </w:rPr>
                              <w:t>3</w:t>
                            </w:r>
                            <w:r w:rsidRPr="00FD0392">
                              <w:rPr>
                                <w:rFonts w:ascii="Arial" w:hAnsi="Arial" w:cs="Arial"/>
                                <w:color w:val="6C6C6C"/>
                                <w:sz w:val="20"/>
                                <w:szCs w:val="20"/>
                              </w:rPr>
                              <w:t xml:space="preserve"> The ESC has a class I recommendation for use of SGLT2i in adults with HFmEF and HFpEF as well.</w:t>
                            </w:r>
                            <w:r w:rsidRPr="00FD0392">
                              <w:rPr>
                                <w:rFonts w:ascii="Arial" w:hAnsi="Arial" w:cs="Arial"/>
                                <w:color w:val="6C6C6C"/>
                                <w:sz w:val="20"/>
                                <w:szCs w:val="20"/>
                                <w:vertAlign w:val="superscript"/>
                              </w:rPr>
                              <w:t>4</w:t>
                            </w:r>
                            <w:r w:rsidRPr="00FD0392">
                              <w:rPr>
                                <w:rFonts w:ascii="Arial" w:hAnsi="Arial" w:cs="Arial"/>
                                <w:color w:val="6C6C6C"/>
                                <w:sz w:val="20"/>
                                <w:szCs w:val="20"/>
                              </w:rPr>
                              <w:t xml:space="preserve"> The safety of SGLT2i in pediatric patients with HF is not fully established, but early reports demonstrate general safety and tolerability.</w:t>
                            </w:r>
                            <w:r w:rsidRPr="00FD0392">
                              <w:rPr>
                                <w:rFonts w:ascii="Arial" w:hAnsi="Arial" w:cs="Arial"/>
                                <w:color w:val="6C6C6C"/>
                                <w:sz w:val="20"/>
                                <w:szCs w:val="20"/>
                                <w:vertAlign w:val="superscript"/>
                              </w:rPr>
                              <w:t>5</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D187F4" id="Text Box 3" o:spid="_x0000_s1028" type="#_x0000_t202" style="position:absolute;margin-left:44.9pt;margin-top:128.3pt;width:522.7pt;height:96.95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&#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79BF0EC2" w:rsidR="001F67B8" w:rsidRPr="00FD0392" w:rsidRDefault="00FD0392" w:rsidP="00B857C5">
                      <w:pPr>
                        <w:spacing w:line="280" w:lineRule="exact"/>
                        <w:rPr>
                          <w:rFonts w:ascii="Arial" w:hAnsi="Arial" w:cs="Arial"/>
                          <w:color w:val="6C6C6C"/>
                          <w:sz w:val="20"/>
                          <w:szCs w:val="20"/>
                        </w:rPr>
                      </w:pPr>
                      <w:r w:rsidRPr="00FD0392">
                        <w:rPr>
                          <w:rFonts w:ascii="Arial" w:hAnsi="Arial" w:cs="Arial"/>
                          <w:color w:val="6C6C6C"/>
                          <w:sz w:val="20"/>
                          <w:szCs w:val="20"/>
                        </w:rPr>
                        <w:t>There are no significant data on the benefit of SGLT2i in pediatric patients with heart failure (HF), although growing literature strongly supports the use of SGLT2i in adults with HF with either reduced or preserved ejection fraction.</w:t>
                      </w:r>
                      <w:r w:rsidRPr="00FD0392">
                        <w:rPr>
                          <w:rFonts w:ascii="Arial" w:hAnsi="Arial" w:cs="Arial"/>
                          <w:color w:val="6C6C6C"/>
                          <w:sz w:val="20"/>
                          <w:szCs w:val="20"/>
                          <w:vertAlign w:val="superscript"/>
                        </w:rPr>
                        <w:t>1,2</w:t>
                      </w:r>
                      <w:r w:rsidRPr="00FD0392">
                        <w:rPr>
                          <w:rFonts w:ascii="Arial" w:hAnsi="Arial" w:cs="Arial"/>
                          <w:color w:val="6C6C6C"/>
                          <w:sz w:val="20"/>
                          <w:szCs w:val="20"/>
                        </w:rPr>
                        <w:t xml:space="preserve"> The joint ACA/ACC/HFSA guidelines on management of HF includes the use of SGLT2i in adults with HFrEF as a class I recommendation.</w:t>
                      </w:r>
                      <w:r w:rsidRPr="00FD0392">
                        <w:rPr>
                          <w:rFonts w:ascii="Arial" w:hAnsi="Arial" w:cs="Arial"/>
                          <w:color w:val="6C6C6C"/>
                          <w:sz w:val="20"/>
                          <w:szCs w:val="20"/>
                          <w:vertAlign w:val="superscript"/>
                        </w:rPr>
                        <w:t>3</w:t>
                      </w:r>
                      <w:r w:rsidRPr="00FD0392">
                        <w:rPr>
                          <w:rFonts w:ascii="Arial" w:hAnsi="Arial" w:cs="Arial"/>
                          <w:color w:val="6C6C6C"/>
                          <w:sz w:val="20"/>
                          <w:szCs w:val="20"/>
                        </w:rPr>
                        <w:t xml:space="preserve"> The ESC has a class I recommendation for use of SGLT2i in adults with HFmEF and HFpEF as well.</w:t>
                      </w:r>
                      <w:r w:rsidRPr="00FD0392">
                        <w:rPr>
                          <w:rFonts w:ascii="Arial" w:hAnsi="Arial" w:cs="Arial"/>
                          <w:color w:val="6C6C6C"/>
                          <w:sz w:val="20"/>
                          <w:szCs w:val="20"/>
                          <w:vertAlign w:val="superscript"/>
                        </w:rPr>
                        <w:t>4</w:t>
                      </w:r>
                      <w:r w:rsidRPr="00FD0392">
                        <w:rPr>
                          <w:rFonts w:ascii="Arial" w:hAnsi="Arial" w:cs="Arial"/>
                          <w:color w:val="6C6C6C"/>
                          <w:sz w:val="20"/>
                          <w:szCs w:val="20"/>
                        </w:rPr>
                        <w:t xml:space="preserve"> The safety of SGLT2i in pediatric patients with HF is not fully established, but early reports demonstrate general safety and tolerability.</w:t>
                      </w:r>
                      <w:r w:rsidRPr="00FD0392">
                        <w:rPr>
                          <w:rFonts w:ascii="Arial" w:hAnsi="Arial" w:cs="Arial"/>
                          <w:color w:val="6C6C6C"/>
                          <w:sz w:val="20"/>
                          <w:szCs w:val="20"/>
                          <w:vertAlign w:val="superscript"/>
                        </w:rPr>
                        <w:t>5</w:t>
                      </w:r>
                    </w:p>
                  </w:txbxContent>
                </v:textbox>
                <w10:wrap anchorx="page" anchory="page"/>
              </v:shape>
            </w:pict>
          </mc:Fallback>
        </mc:AlternateContent>
      </w:r>
    </w:p>
    <w:p w14:paraId="3F7BBA76" w14:textId="77777777" w:rsidR="00B857C5" w:rsidRPr="00E24980" w:rsidRDefault="00B857C5" w:rsidP="007575DC">
      <w:pPr>
        <w:spacing w:line="240" w:lineRule="exact"/>
        <w:rPr>
          <w:rFonts w:ascii="Arial" w:hAnsi="Arial" w:cs="Arial"/>
          <w:b/>
          <w:color w:val="578988"/>
          <w:spacing w:val="20"/>
          <w:sz w:val="18"/>
          <w:szCs w:val="18"/>
        </w:rPr>
      </w:pPr>
    </w:p>
    <w:p w14:paraId="08AD281F" w14:textId="77777777" w:rsidR="00B857C5" w:rsidRPr="00E24980" w:rsidRDefault="00B857C5" w:rsidP="007575DC">
      <w:pPr>
        <w:spacing w:line="240" w:lineRule="exact"/>
        <w:rPr>
          <w:rFonts w:ascii="Arial" w:hAnsi="Arial" w:cs="Arial"/>
          <w:b/>
          <w:color w:val="578988"/>
          <w:spacing w:val="20"/>
          <w:sz w:val="18"/>
          <w:szCs w:val="18"/>
        </w:rPr>
      </w:pPr>
    </w:p>
    <w:p w14:paraId="75E8EC46" w14:textId="77777777" w:rsidR="00B857C5" w:rsidRPr="00E24980" w:rsidRDefault="00B857C5" w:rsidP="007575DC">
      <w:pPr>
        <w:spacing w:line="240" w:lineRule="exact"/>
        <w:rPr>
          <w:rFonts w:ascii="Arial" w:hAnsi="Arial" w:cs="Arial"/>
          <w:b/>
          <w:color w:val="578988"/>
          <w:spacing w:val="20"/>
          <w:sz w:val="18"/>
          <w:szCs w:val="18"/>
        </w:rPr>
      </w:pPr>
    </w:p>
    <w:p w14:paraId="03BD306B" w14:textId="77777777" w:rsidR="00B857C5" w:rsidRPr="00E24980" w:rsidRDefault="00B857C5" w:rsidP="007575DC">
      <w:pPr>
        <w:spacing w:line="240" w:lineRule="exact"/>
        <w:rPr>
          <w:rFonts w:ascii="Arial" w:hAnsi="Arial" w:cs="Arial"/>
          <w:b/>
          <w:color w:val="578988"/>
          <w:spacing w:val="20"/>
          <w:sz w:val="18"/>
          <w:szCs w:val="18"/>
        </w:rPr>
      </w:pPr>
    </w:p>
    <w:p w14:paraId="0BF73D6F" w14:textId="77777777" w:rsidR="00B857C5" w:rsidRPr="00E24980" w:rsidRDefault="00B857C5" w:rsidP="007575DC">
      <w:pPr>
        <w:spacing w:line="240" w:lineRule="exact"/>
        <w:rPr>
          <w:rFonts w:ascii="Arial" w:hAnsi="Arial" w:cs="Arial"/>
          <w:b/>
          <w:color w:val="578988"/>
          <w:spacing w:val="20"/>
          <w:sz w:val="18"/>
          <w:szCs w:val="18"/>
        </w:rPr>
      </w:pPr>
    </w:p>
    <w:p w14:paraId="26FC8685" w14:textId="77777777" w:rsidR="00B857C5" w:rsidRPr="00E24980" w:rsidRDefault="00B857C5" w:rsidP="007575DC">
      <w:pPr>
        <w:spacing w:line="240" w:lineRule="exact"/>
        <w:rPr>
          <w:rFonts w:ascii="Arial" w:hAnsi="Arial" w:cs="Arial"/>
          <w:b/>
          <w:color w:val="578988"/>
          <w:spacing w:val="20"/>
          <w:sz w:val="18"/>
          <w:szCs w:val="18"/>
        </w:rPr>
      </w:pPr>
    </w:p>
    <w:p w14:paraId="40C162D3" w14:textId="77777777" w:rsidR="00B857C5" w:rsidRPr="00E24980" w:rsidRDefault="00B857C5" w:rsidP="007575DC">
      <w:pPr>
        <w:spacing w:line="240" w:lineRule="exact"/>
        <w:rPr>
          <w:rFonts w:ascii="Arial" w:hAnsi="Arial" w:cs="Arial"/>
          <w:b/>
          <w:color w:val="578988"/>
          <w:spacing w:val="20"/>
          <w:sz w:val="18"/>
          <w:szCs w:val="18"/>
        </w:rPr>
      </w:pPr>
    </w:p>
    <w:p w14:paraId="55F90F91" w14:textId="77777777" w:rsidR="00F858A4" w:rsidRPr="00E24980" w:rsidRDefault="00F858A4" w:rsidP="007575DC">
      <w:pPr>
        <w:spacing w:line="240" w:lineRule="exact"/>
        <w:rPr>
          <w:rFonts w:ascii="Arial" w:hAnsi="Arial" w:cs="Arial"/>
          <w:b/>
          <w:color w:val="578988"/>
          <w:spacing w:val="20"/>
          <w:sz w:val="18"/>
          <w:szCs w:val="18"/>
        </w:rPr>
      </w:pPr>
    </w:p>
    <w:p w14:paraId="4D3CFAED" w14:textId="77777777" w:rsidR="00FD0392" w:rsidRPr="00E24980" w:rsidRDefault="00FD0392" w:rsidP="007575DC">
      <w:pPr>
        <w:spacing w:line="240" w:lineRule="exact"/>
        <w:rPr>
          <w:rFonts w:ascii="Arial" w:hAnsi="Arial" w:cs="Arial"/>
          <w:b/>
          <w:color w:val="578988"/>
          <w:spacing w:val="20"/>
          <w:sz w:val="20"/>
          <w:szCs w:val="20"/>
        </w:rPr>
      </w:pPr>
    </w:p>
    <w:p w14:paraId="48B4C51D" w14:textId="60BC3534" w:rsidR="008D2C90" w:rsidRPr="00E24980" w:rsidRDefault="008D2C90" w:rsidP="007575DC">
      <w:pPr>
        <w:spacing w:line="240" w:lineRule="exact"/>
        <w:rPr>
          <w:rFonts w:ascii="Arial" w:hAnsi="Arial" w:cs="Arial"/>
          <w:b/>
          <w:color w:val="578988"/>
          <w:spacing w:val="20"/>
          <w:sz w:val="20"/>
          <w:szCs w:val="20"/>
        </w:rPr>
      </w:pPr>
      <w:r w:rsidRPr="00E24980">
        <w:rPr>
          <w:rFonts w:ascii="Arial" w:hAnsi="Arial" w:cs="Arial"/>
          <w:b/>
          <w:color w:val="578988"/>
          <w:spacing w:val="20"/>
          <w:sz w:val="20"/>
          <w:szCs w:val="20"/>
        </w:rPr>
        <w:t xml:space="preserve">ACTION REVISED DATE: </w:t>
      </w:r>
      <w:r w:rsidR="00FD0392" w:rsidRPr="00E24980">
        <w:rPr>
          <w:rFonts w:ascii="Arial" w:eastAsia="Calibri" w:hAnsi="Arial" w:cs="Arial"/>
          <w:color w:val="767171"/>
        </w:rPr>
        <w:t>0</w:t>
      </w:r>
      <w:r w:rsidR="009237DC" w:rsidRPr="00E24980">
        <w:rPr>
          <w:rFonts w:ascii="Arial" w:eastAsia="Calibri" w:hAnsi="Arial" w:cs="Arial"/>
          <w:color w:val="767171"/>
        </w:rPr>
        <w:t>5</w:t>
      </w:r>
      <w:r w:rsidRPr="00E24980">
        <w:rPr>
          <w:rFonts w:ascii="Arial" w:eastAsia="Calibri" w:hAnsi="Arial" w:cs="Arial"/>
          <w:color w:val="767171"/>
        </w:rPr>
        <w:t>/</w:t>
      </w:r>
      <w:r w:rsidR="00FD0392" w:rsidRPr="00E24980">
        <w:rPr>
          <w:rFonts w:ascii="Arial" w:eastAsia="Calibri" w:hAnsi="Arial" w:cs="Arial"/>
          <w:color w:val="767171"/>
        </w:rPr>
        <w:t>2</w:t>
      </w:r>
      <w:r w:rsidR="009237DC" w:rsidRPr="00E24980">
        <w:rPr>
          <w:rFonts w:ascii="Arial" w:eastAsia="Calibri" w:hAnsi="Arial" w:cs="Arial"/>
          <w:color w:val="767171"/>
        </w:rPr>
        <w:t>3</w:t>
      </w:r>
      <w:r w:rsidRPr="00E24980">
        <w:rPr>
          <w:rFonts w:ascii="Arial" w:eastAsia="Calibri" w:hAnsi="Arial" w:cs="Arial"/>
          <w:color w:val="767171"/>
        </w:rPr>
        <w:t>/</w:t>
      </w:r>
      <w:r w:rsidR="00FD0392" w:rsidRPr="00E24980">
        <w:rPr>
          <w:rFonts w:ascii="Arial" w:eastAsia="Calibri" w:hAnsi="Arial" w:cs="Arial"/>
          <w:color w:val="767171"/>
        </w:rPr>
        <w:t>2024</w:t>
      </w:r>
    </w:p>
    <w:p w14:paraId="65D328D9" w14:textId="77777777" w:rsidR="008D2C90" w:rsidRPr="00E24980" w:rsidRDefault="008D2C90" w:rsidP="007575DC">
      <w:pPr>
        <w:spacing w:line="240" w:lineRule="exact"/>
        <w:rPr>
          <w:rFonts w:ascii="Arial" w:hAnsi="Arial" w:cs="Arial"/>
          <w:b/>
          <w:color w:val="578988"/>
          <w:spacing w:val="20"/>
          <w:sz w:val="20"/>
          <w:szCs w:val="20"/>
        </w:rPr>
      </w:pPr>
    </w:p>
    <w:p w14:paraId="4ED7227D" w14:textId="08BFFF60" w:rsidR="007575DC" w:rsidRPr="00E24980" w:rsidRDefault="009B1CA4" w:rsidP="00740DF0">
      <w:pPr>
        <w:spacing w:after="240" w:line="240" w:lineRule="exact"/>
        <w:rPr>
          <w:rFonts w:ascii="Arial" w:hAnsi="Arial" w:cs="Arial"/>
          <w:b/>
          <w:color w:val="578988"/>
          <w:spacing w:val="20"/>
          <w:sz w:val="20"/>
          <w:szCs w:val="20"/>
        </w:rPr>
      </w:pPr>
      <w:r w:rsidRPr="00E24980">
        <w:rPr>
          <w:rFonts w:ascii="Arial" w:hAnsi="Arial" w:cs="Arial"/>
          <w:b/>
          <w:color w:val="578988"/>
          <w:spacing w:val="20"/>
          <w:sz w:val="20"/>
          <w:szCs w:val="20"/>
        </w:rPr>
        <w:t>OBJECTIVES</w:t>
      </w:r>
    </w:p>
    <w:p w14:paraId="65EDEA6F" w14:textId="292F7BD7" w:rsidR="00067EFC" w:rsidRPr="00E24980" w:rsidRDefault="00067EFC" w:rsidP="009237DC">
      <w:pPr>
        <w:pStyle w:val="ListParagraph"/>
        <w:numPr>
          <w:ilvl w:val="0"/>
          <w:numId w:val="31"/>
        </w:numPr>
        <w:spacing w:before="120" w:after="120" w:line="360" w:lineRule="auto"/>
        <w:ind w:left="360"/>
        <w:rPr>
          <w:rFonts w:ascii="Arial" w:eastAsia="Calibri" w:hAnsi="Arial" w:cs="Arial"/>
          <w:color w:val="767171"/>
          <w:sz w:val="22"/>
          <w:szCs w:val="22"/>
        </w:rPr>
      </w:pPr>
      <w:r w:rsidRPr="00E24980">
        <w:rPr>
          <w:rFonts w:ascii="Arial" w:eastAsia="Calibri" w:hAnsi="Arial" w:cs="Arial"/>
          <w:color w:val="767171"/>
          <w:sz w:val="22"/>
          <w:szCs w:val="22"/>
        </w:rPr>
        <w:t>Provide background and resources regarding use and dosing of SGLT-2 inhibitors (SGLT2i) in children with heart failure</w:t>
      </w:r>
    </w:p>
    <w:p w14:paraId="04F13853" w14:textId="7DE52B7B" w:rsidR="00067EFC" w:rsidRPr="00E24980" w:rsidRDefault="00067EFC" w:rsidP="009237DC">
      <w:pPr>
        <w:pStyle w:val="ListParagraph"/>
        <w:numPr>
          <w:ilvl w:val="0"/>
          <w:numId w:val="31"/>
        </w:numPr>
        <w:spacing w:before="120" w:after="120" w:line="360" w:lineRule="auto"/>
        <w:ind w:left="360"/>
        <w:rPr>
          <w:rFonts w:ascii="Arial" w:eastAsia="Calibri" w:hAnsi="Arial" w:cs="Arial"/>
          <w:color w:val="767171"/>
          <w:sz w:val="22"/>
          <w:szCs w:val="22"/>
        </w:rPr>
      </w:pPr>
      <w:r w:rsidRPr="00E24980">
        <w:rPr>
          <w:rFonts w:ascii="Arial" w:eastAsia="Calibri" w:hAnsi="Arial" w:cs="Arial"/>
          <w:color w:val="767171"/>
          <w:sz w:val="22"/>
          <w:szCs w:val="22"/>
        </w:rPr>
        <w:t xml:space="preserve">Provide guidance regarding considerations and precautions for use of SGLT2i in children with heart failure </w:t>
      </w:r>
    </w:p>
    <w:p w14:paraId="52FD8B4E" w14:textId="77777777" w:rsidR="00B17807" w:rsidRPr="00E24980" w:rsidRDefault="00B17807" w:rsidP="007575DC">
      <w:pPr>
        <w:spacing w:line="240" w:lineRule="exact"/>
        <w:rPr>
          <w:rFonts w:ascii="Arial" w:hAnsi="Arial" w:cs="Arial"/>
          <w:color w:val="6C6C6C"/>
          <w:sz w:val="20"/>
          <w:szCs w:val="20"/>
        </w:rPr>
      </w:pPr>
    </w:p>
    <w:p w14:paraId="6B0D6856" w14:textId="78894246" w:rsidR="00C52906" w:rsidRPr="00E24980" w:rsidRDefault="009B1CA4" w:rsidP="00740DF0">
      <w:pPr>
        <w:spacing w:after="240" w:line="240" w:lineRule="exact"/>
        <w:rPr>
          <w:rFonts w:ascii="Arial" w:hAnsi="Arial" w:cs="Arial"/>
          <w:b/>
          <w:color w:val="578988"/>
          <w:spacing w:val="20"/>
          <w:sz w:val="20"/>
          <w:szCs w:val="20"/>
        </w:rPr>
      </w:pPr>
      <w:r w:rsidRPr="00E24980">
        <w:rPr>
          <w:rFonts w:ascii="Arial" w:hAnsi="Arial" w:cs="Arial"/>
          <w:b/>
          <w:color w:val="578988"/>
          <w:spacing w:val="20"/>
          <w:sz w:val="20"/>
          <w:szCs w:val="20"/>
        </w:rPr>
        <w:t>PROTOCOL</w:t>
      </w:r>
    </w:p>
    <w:p w14:paraId="5B021E31" w14:textId="711B183C" w:rsidR="00FD0392" w:rsidRPr="00E24980" w:rsidRDefault="00FD0392" w:rsidP="009E69CD">
      <w:pPr>
        <w:spacing w:before="120" w:after="120" w:line="360" w:lineRule="auto"/>
        <w:rPr>
          <w:rFonts w:ascii="Arial" w:eastAsia="Calibri" w:hAnsi="Arial" w:cs="Arial"/>
          <w:color w:val="767171"/>
          <w:sz w:val="22"/>
          <w:szCs w:val="22"/>
        </w:rPr>
      </w:pPr>
      <w:r w:rsidRPr="00E24980">
        <w:rPr>
          <w:rFonts w:ascii="Arial" w:eastAsia="Calibri" w:hAnsi="Arial" w:cs="Arial"/>
          <w:color w:val="767171"/>
          <w:sz w:val="22"/>
          <w:szCs w:val="22"/>
        </w:rPr>
        <w:t>For those considering the use of SGLT2i in pediatric patients:</w:t>
      </w:r>
    </w:p>
    <w:p w14:paraId="7B4D2A38" w14:textId="77777777" w:rsidR="00FD0392" w:rsidRPr="00E24980" w:rsidRDefault="00FD0392" w:rsidP="009E69CD">
      <w:pPr>
        <w:numPr>
          <w:ilvl w:val="0"/>
          <w:numId w:val="28"/>
        </w:numPr>
        <w:spacing w:before="120" w:after="120" w:line="360" w:lineRule="auto"/>
        <w:rPr>
          <w:rFonts w:ascii="Arial" w:eastAsia="Calibri" w:hAnsi="Arial" w:cs="Arial"/>
          <w:b/>
          <w:noProof/>
          <w:color w:val="767171"/>
          <w:sz w:val="22"/>
          <w:szCs w:val="22"/>
        </w:rPr>
      </w:pPr>
      <w:r w:rsidRPr="00E24980">
        <w:rPr>
          <w:rFonts w:ascii="Arial" w:eastAsia="Calibri" w:hAnsi="Arial" w:cs="Arial"/>
          <w:noProof/>
          <w:color w:val="767171"/>
          <w:sz w:val="22"/>
          <w:szCs w:val="22"/>
        </w:rPr>
        <w:t>Timing and indications for SGLT2i initiation are not clear in pediatric heart failure.</w:t>
      </w:r>
    </w:p>
    <w:p w14:paraId="5A59A02D" w14:textId="77777777" w:rsidR="00FD0392" w:rsidRPr="00E24980" w:rsidRDefault="00FD0392" w:rsidP="009E69CD">
      <w:pPr>
        <w:numPr>
          <w:ilvl w:val="0"/>
          <w:numId w:val="28"/>
        </w:numPr>
        <w:spacing w:before="120" w:after="120" w:line="360" w:lineRule="auto"/>
        <w:rPr>
          <w:rFonts w:ascii="Arial" w:eastAsia="Calibri" w:hAnsi="Arial" w:cs="Arial"/>
          <w:b/>
          <w:noProof/>
          <w:color w:val="767171"/>
          <w:sz w:val="22"/>
          <w:szCs w:val="22"/>
        </w:rPr>
      </w:pPr>
      <w:r w:rsidRPr="00E24980">
        <w:rPr>
          <w:rFonts w:ascii="Arial" w:eastAsia="Calibri" w:hAnsi="Arial" w:cs="Arial"/>
          <w:noProof/>
          <w:color w:val="767171"/>
          <w:sz w:val="22"/>
          <w:szCs w:val="22"/>
        </w:rPr>
        <w:t xml:space="preserve">SGLT2i can be considered in the setting of systolic or diastolic HF and in the setting of Fontan circulatory insuffciency. This document provides guidance for usage of SGLT2i but does not address indications for use. </w:t>
      </w:r>
      <w:r w:rsidRPr="00E24980">
        <w:rPr>
          <w:rFonts w:ascii="Arial" w:eastAsia="Calibri" w:hAnsi="Arial" w:cs="Arial"/>
          <w:b/>
          <w:noProof/>
          <w:color w:val="767171"/>
          <w:sz w:val="22"/>
          <w:szCs w:val="22"/>
        </w:rPr>
        <w:t xml:space="preserve"> </w:t>
      </w:r>
    </w:p>
    <w:p w14:paraId="3B62C5AD" w14:textId="77777777" w:rsidR="00FD0392" w:rsidRPr="00E24980" w:rsidRDefault="00FD0392" w:rsidP="009E69CD">
      <w:pPr>
        <w:numPr>
          <w:ilvl w:val="0"/>
          <w:numId w:val="28"/>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SGLT2i can be considered in conjunction with other medications used to treat HF or alone. They may be started after other medications have been maximized or may be started sooner due to relatively limited side effect profile and benefit in those with impaired diastolic function.</w:t>
      </w:r>
    </w:p>
    <w:p w14:paraId="574643D4" w14:textId="77777777" w:rsidR="00FD0392" w:rsidRPr="00E24980" w:rsidRDefault="00FD0392" w:rsidP="009E69CD">
      <w:pPr>
        <w:numPr>
          <w:ilvl w:val="0"/>
          <w:numId w:val="28"/>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 xml:space="preserve">Goal Target Dose is based on major guidelines for therapy in adult patients with HF with reduced ejection fraction (HFrEF). See table for recommendations in patients &gt;50kg. Dosing for patients &lt;50kg has not yet been clarified. </w:t>
      </w:r>
    </w:p>
    <w:p w14:paraId="3DA50EE2" w14:textId="77777777" w:rsidR="00FD0392" w:rsidRPr="00E24980" w:rsidRDefault="00FD0392" w:rsidP="009E69CD">
      <w:pPr>
        <w:numPr>
          <w:ilvl w:val="0"/>
          <w:numId w:val="28"/>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Dosing of pediatric patients with smaller doses of dapagliflozin has been reported with titration upwards if glucosuria is not found on lower doses.</w:t>
      </w:r>
    </w:p>
    <w:p w14:paraId="26635214" w14:textId="71C7878D" w:rsidR="00C52906" w:rsidRPr="00E24980" w:rsidRDefault="00FD0392" w:rsidP="00C52906">
      <w:p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Additional consideration/precautions</w:t>
      </w:r>
      <w:r w:rsidR="00740DF0" w:rsidRPr="00E24980">
        <w:rPr>
          <w:rFonts w:ascii="Arial" w:eastAsia="Calibri" w:hAnsi="Arial" w:cs="Arial"/>
          <w:noProof/>
          <w:color w:val="767171"/>
          <w:sz w:val="22"/>
          <w:szCs w:val="22"/>
        </w:rPr>
        <w:t>:</w:t>
      </w:r>
    </w:p>
    <w:p w14:paraId="1B1F6C4F" w14:textId="5853EACB" w:rsidR="00FD0392" w:rsidRPr="00E24980" w:rsidRDefault="00FD0392" w:rsidP="00C52906">
      <w:p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lastRenderedPageBreak/>
        <w:t>The frequency of urinary tract infections and genital infections is increased in patients receiving an SGLT2i. An individualized discussion of the the risks and benefits based on a patient’s dermatologic and urologic history is encouraged. Concomitant use of immunosuppressive medications should also be taken into consideration.</w:t>
      </w:r>
    </w:p>
    <w:p w14:paraId="1F8AC49B" w14:textId="77777777" w:rsidR="00FD0392" w:rsidRPr="00E24980" w:rsidRDefault="00FD0392" w:rsidP="009E69CD">
      <w:pPr>
        <w:numPr>
          <w:ilvl w:val="0"/>
          <w:numId w:val="29"/>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Relative dehydration and natriuresis may be possible, and pre-emptive reduction in diuretics can be considered.</w:t>
      </w:r>
    </w:p>
    <w:p w14:paraId="29A52F20" w14:textId="77777777" w:rsidR="00FD0392" w:rsidRPr="00E24980" w:rsidRDefault="00FD0392" w:rsidP="009E69CD">
      <w:pPr>
        <w:numPr>
          <w:ilvl w:val="0"/>
          <w:numId w:val="29"/>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eGFR may initially decline with initiation of SGLT2i due to tubuloglomerular feedback. Among adult patients, SGLT2i use is associated with preservation of kidney function and is now recommended for adults with chronic kidney disease.</w:t>
      </w:r>
    </w:p>
    <w:p w14:paraId="410D96AC" w14:textId="77777777" w:rsidR="00FD0392" w:rsidRPr="00E24980" w:rsidRDefault="00FD0392" w:rsidP="009E69CD">
      <w:p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SGLT2i associated ketoacidosis and Endocrine Related Considerations</w:t>
      </w:r>
    </w:p>
    <w:p w14:paraId="415A193B" w14:textId="77777777" w:rsidR="00FD0392" w:rsidRPr="00E24980" w:rsidRDefault="00FD0392" w:rsidP="009E69CD">
      <w:pPr>
        <w:numPr>
          <w:ilvl w:val="0"/>
          <w:numId w:val="29"/>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Euglycemic diabetic ketoacidosis (EuDKA) has been reported in adults on SGLT2i; it should be considered when a patient has an anion gap metabolic acidosis and/or elevated ketones, even when blood glucose &lt; 200, or lactic acidosis of unclear etiology.</w:t>
      </w:r>
      <w:r w:rsidRPr="00E24980">
        <w:rPr>
          <w:rFonts w:ascii="Arial" w:eastAsia="Calibri" w:hAnsi="Arial" w:cs="Arial"/>
          <w:noProof/>
          <w:color w:val="767171"/>
          <w:sz w:val="22"/>
          <w:szCs w:val="22"/>
        </w:rPr>
        <w:fldChar w:fldCharType="begin"/>
      </w:r>
      <w:r w:rsidRPr="00E24980">
        <w:rPr>
          <w:rFonts w:ascii="Arial" w:eastAsia="Calibri" w:hAnsi="Arial" w:cs="Arial"/>
          <w:noProof/>
          <w:color w:val="767171"/>
          <w:sz w:val="22"/>
          <w:szCs w:val="22"/>
        </w:rPr>
        <w:instrText xml:space="preserve"> ADDIN ZOTERO_ITEM CSL_CITATION {"citationID":"eD51rzFz","properties":{"formattedCitation":"\\super 6\\nosupersub{}","plainCitation":"6","noteIndex":0},"citationItems":[{"id":1854,"uris":["http://zotero.org/users/10081927/items/ZE8XENU8"],"itemData":{"id":1854,"type":"webpage","container-title":"American College of Cardiology","title":"Preoperative Cessation of SGLT2i","URL":"https://www.acc.org/Latest-in-Cardiology/Articles/2022/10/07/17/21/http%3a%2f%2fwww.acc.org%2fLatest-in-Cardiology%2fArticles%2f2022%2f10%2f07%2f17%2f21%2fPreoperative-Cessation-of-SGLT2i","accessed":{"date-parts":[["2024",3,3]]}}}],"schema":"https://github.com/citation-style-language/schema/raw/master/csl-citation.json"} </w:instrText>
      </w:r>
      <w:r w:rsidRPr="00E24980">
        <w:rPr>
          <w:rFonts w:ascii="Arial" w:eastAsia="Calibri" w:hAnsi="Arial" w:cs="Arial"/>
          <w:noProof/>
          <w:color w:val="767171"/>
          <w:sz w:val="22"/>
          <w:szCs w:val="22"/>
        </w:rPr>
        <w:fldChar w:fldCharType="separate"/>
      </w:r>
      <w:r w:rsidRPr="00E24980">
        <w:rPr>
          <w:rFonts w:ascii="Arial" w:eastAsia="Calibri" w:hAnsi="Arial" w:cs="Arial"/>
          <w:noProof/>
          <w:color w:val="808080"/>
          <w:sz w:val="22"/>
          <w:szCs w:val="22"/>
          <w:vertAlign w:val="superscript"/>
        </w:rPr>
        <w:t>6</w:t>
      </w:r>
      <w:r w:rsidRPr="00E24980">
        <w:rPr>
          <w:rFonts w:ascii="Arial" w:eastAsia="Calibri" w:hAnsi="Arial" w:cs="Arial"/>
          <w:noProof/>
          <w:color w:val="767171"/>
          <w:sz w:val="22"/>
          <w:szCs w:val="22"/>
        </w:rPr>
        <w:fldChar w:fldCharType="end"/>
      </w:r>
      <w:r w:rsidRPr="00E24980">
        <w:rPr>
          <w:rFonts w:ascii="Arial" w:eastAsia="Calibri" w:hAnsi="Arial" w:cs="Arial"/>
          <w:noProof/>
          <w:color w:val="767171"/>
          <w:sz w:val="22"/>
          <w:szCs w:val="22"/>
        </w:rPr>
        <w:t xml:space="preserve"> Consider checking ketones regardless of blood glucose levels if EuDKA is suspected. </w:t>
      </w:r>
    </w:p>
    <w:p w14:paraId="3886B09E" w14:textId="77777777" w:rsidR="00FD0392" w:rsidRPr="00E24980" w:rsidRDefault="00FD0392" w:rsidP="009E69CD">
      <w:pPr>
        <w:numPr>
          <w:ilvl w:val="0"/>
          <w:numId w:val="29"/>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 xml:space="preserve">The recommendation from the FDA is to consider </w:t>
      </w:r>
      <w:r w:rsidRPr="00E24980">
        <w:rPr>
          <w:rFonts w:ascii="Arial" w:eastAsia="Calibri" w:hAnsi="Arial" w:cs="Arial"/>
          <w:b/>
          <w:bCs/>
          <w:noProof/>
          <w:color w:val="767171"/>
          <w:sz w:val="22"/>
          <w:szCs w:val="22"/>
        </w:rPr>
        <w:t>holding SGLT2i 3-4 days before scheduled surgery</w:t>
      </w:r>
      <w:r w:rsidRPr="00E24980">
        <w:rPr>
          <w:rFonts w:ascii="Arial" w:eastAsia="Calibri" w:hAnsi="Arial" w:cs="Arial"/>
          <w:noProof/>
          <w:color w:val="767171"/>
          <w:sz w:val="22"/>
          <w:szCs w:val="22"/>
        </w:rPr>
        <w:t>.</w:t>
      </w:r>
      <w:r w:rsidRPr="00E24980">
        <w:rPr>
          <w:rFonts w:ascii="Arial" w:eastAsia="Calibri" w:hAnsi="Arial" w:cs="Arial"/>
          <w:noProof/>
          <w:color w:val="767171"/>
          <w:sz w:val="22"/>
          <w:szCs w:val="22"/>
        </w:rPr>
        <w:fldChar w:fldCharType="begin"/>
      </w:r>
      <w:r w:rsidRPr="00E24980">
        <w:rPr>
          <w:rFonts w:ascii="Arial" w:eastAsia="Calibri" w:hAnsi="Arial" w:cs="Arial"/>
          <w:noProof/>
          <w:color w:val="767171"/>
          <w:sz w:val="22"/>
          <w:szCs w:val="22"/>
        </w:rPr>
        <w:instrText xml:space="preserve"> ADDIN ZOTERO_ITEM CSL_CITATION {"citationID":"cIYkS1Gs","properties":{"formattedCitation":"\\super 7\\nosupersub{}","plainCitation":"7","noteIndex":0},"citationItems":[{"id":1858,"uris":["http://zotero.org/users/10081927/items/QGNHVD9D"],"itemData":{"id":1858,"type":"article-journal","abstract":"A U.S. Food and Drug Administration (FDA) safety review has resulted in adding warnings to the labels of a specific class of type 2 diabetes medicines called sodium-glucose cotransporter-2 (SGLT2) inhibitors about the risks of too much acid in the blood and of serious urinary tract infections. Both","container-title":"FDA","language":"en","note":"publisher: FDA","source":"www.fda.gov","title":"FDA revises labels of SGLT2 inhibitors for diabetes to include warnings about too much acid in the blood and serious urinary tract infections","URL":"https://www.fda.gov/drugs/drug-safety-and-availability/fda-revises-labels-sglt2-inhibitors-diabetes-include-warnings-about-too-much-acid-blood-and-serious","author":[{"family":"Research","given":"Center for Drug Evaluation","dropping-particle":"and"}],"accessed":{"date-parts":[["2024",3,3]]},"issued":{"date-parts":[["2023",8,23]]}}}],"schema":"https://github.com/citation-style-language/schema/raw/master/csl-citation.json"} </w:instrText>
      </w:r>
      <w:r w:rsidRPr="00E24980">
        <w:rPr>
          <w:rFonts w:ascii="Arial" w:eastAsia="Calibri" w:hAnsi="Arial" w:cs="Arial"/>
          <w:noProof/>
          <w:color w:val="767171"/>
          <w:sz w:val="22"/>
          <w:szCs w:val="22"/>
        </w:rPr>
        <w:fldChar w:fldCharType="separate"/>
      </w:r>
      <w:r w:rsidRPr="00E24980">
        <w:rPr>
          <w:rFonts w:ascii="Arial" w:eastAsia="Calibri" w:hAnsi="Arial" w:cs="Arial"/>
          <w:noProof/>
          <w:color w:val="808080"/>
          <w:sz w:val="22"/>
          <w:szCs w:val="22"/>
          <w:vertAlign w:val="superscript"/>
        </w:rPr>
        <w:t>7</w:t>
      </w:r>
      <w:r w:rsidRPr="00E24980">
        <w:rPr>
          <w:rFonts w:ascii="Arial" w:eastAsia="Calibri" w:hAnsi="Arial" w:cs="Arial"/>
          <w:noProof/>
          <w:color w:val="767171"/>
          <w:sz w:val="22"/>
          <w:szCs w:val="22"/>
        </w:rPr>
        <w:fldChar w:fldCharType="end"/>
      </w:r>
      <w:r w:rsidRPr="00E24980">
        <w:rPr>
          <w:rFonts w:ascii="Arial" w:eastAsia="Calibri" w:hAnsi="Arial" w:cs="Arial"/>
          <w:noProof/>
          <w:color w:val="767171"/>
          <w:sz w:val="22"/>
          <w:szCs w:val="22"/>
        </w:rPr>
        <w:t xml:space="preserve"> </w:t>
      </w:r>
    </w:p>
    <w:p w14:paraId="2232827B" w14:textId="77777777" w:rsidR="00FD0392" w:rsidRPr="00E24980" w:rsidRDefault="00FD0392" w:rsidP="009E69CD">
      <w:pPr>
        <w:numPr>
          <w:ilvl w:val="0"/>
          <w:numId w:val="29"/>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During times of fasting, dextrose-containing fluids + insulin can be considered. When DKA is supected, insulin should be started.</w:t>
      </w:r>
      <w:r w:rsidRPr="00E24980">
        <w:rPr>
          <w:rFonts w:ascii="Arial" w:eastAsia="Calibri" w:hAnsi="Arial" w:cs="Arial"/>
          <w:noProof/>
          <w:color w:val="767171"/>
          <w:sz w:val="22"/>
          <w:szCs w:val="22"/>
        </w:rPr>
        <w:fldChar w:fldCharType="begin"/>
      </w:r>
      <w:r w:rsidRPr="00E24980">
        <w:rPr>
          <w:rFonts w:ascii="Arial" w:eastAsia="Calibri" w:hAnsi="Arial" w:cs="Arial"/>
          <w:noProof/>
          <w:color w:val="767171"/>
          <w:sz w:val="22"/>
          <w:szCs w:val="22"/>
        </w:rPr>
        <w:instrText xml:space="preserve"> ADDIN ZOTERO_ITEM CSL_CITATION {"citationID":"iEoOo7hs","properties":{"formattedCitation":"\\super 8\\nosupersub{}","plainCitation":"8","noteIndex":0},"citationItems":[{"id":1857,"uris":["http://zotero.org/users/10081927/items/8QTX76UI"],"itemData":{"id":1857,"type":"article-journal","container-title":"Journal of Cardiothoracic and Vascular Anesthesia","DOI":"10.1053/j.jvca.2023.10.011","ISSN":"10530770","issue":"1","journalAbbreviation":"Journal of Cardiothoracic and Vascular Anesthesia","language":"en","page":"57-66","source":"DOI.org (Crossref)","title":"Perioperative Management of Patients Receiving Sodium-Glucose Cotransporter 2 Inhibitors: Development of a Clinical Guideline at a Large Academic Medical Center","title-short":"Perioperative Management of Patients Receiving Sodium-Glucose Cotransporter 2 Inhibitors","volume":"38","author":[{"family":"Raiten","given":"Jesse M."},{"family":"Morlok","given":"Andrea"},{"family":"D'Ambrosia","given":"Sarah"},{"family":"Ruggero","given":"Michael A."},{"family":"Flood","given":"Jeremy"}],"issued":{"date-parts":[["2024",1]]}}}],"schema":"https://github.com/citation-style-language/schema/raw/master/csl-citation.json"} </w:instrText>
      </w:r>
      <w:r w:rsidRPr="00E24980">
        <w:rPr>
          <w:rFonts w:ascii="Arial" w:eastAsia="Calibri" w:hAnsi="Arial" w:cs="Arial"/>
          <w:noProof/>
          <w:color w:val="767171"/>
          <w:sz w:val="22"/>
          <w:szCs w:val="22"/>
        </w:rPr>
        <w:fldChar w:fldCharType="separate"/>
      </w:r>
      <w:r w:rsidRPr="00E24980">
        <w:rPr>
          <w:rFonts w:ascii="Arial" w:eastAsia="Calibri" w:hAnsi="Arial" w:cs="Arial"/>
          <w:noProof/>
          <w:color w:val="808080"/>
          <w:sz w:val="22"/>
          <w:szCs w:val="22"/>
          <w:vertAlign w:val="superscript"/>
        </w:rPr>
        <w:t>8</w:t>
      </w:r>
      <w:r w:rsidRPr="00E24980">
        <w:rPr>
          <w:rFonts w:ascii="Arial" w:eastAsia="Calibri" w:hAnsi="Arial" w:cs="Arial"/>
          <w:noProof/>
          <w:color w:val="767171"/>
          <w:sz w:val="22"/>
          <w:szCs w:val="22"/>
        </w:rPr>
        <w:fldChar w:fldCharType="end"/>
      </w:r>
      <w:r w:rsidRPr="00E24980">
        <w:rPr>
          <w:rFonts w:ascii="Arial" w:eastAsia="Calibri" w:hAnsi="Arial" w:cs="Arial"/>
          <w:noProof/>
          <w:color w:val="767171"/>
          <w:sz w:val="22"/>
          <w:szCs w:val="22"/>
        </w:rPr>
        <w:t xml:space="preserve"> </w:t>
      </w:r>
    </w:p>
    <w:p w14:paraId="38D28990" w14:textId="21CFED71" w:rsidR="00067EFC" w:rsidRPr="00E24980" w:rsidRDefault="00FD0392" w:rsidP="009E69CD">
      <w:pPr>
        <w:numPr>
          <w:ilvl w:val="0"/>
          <w:numId w:val="29"/>
        </w:num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If a patient is already on insulin or other glucose-lowering medication, consider consultation with an endocrinologist prior to SGLT2i initiation.</w:t>
      </w:r>
    </w:p>
    <w:p w14:paraId="79DF63D8" w14:textId="0F25D113" w:rsidR="00FD0392" w:rsidRPr="00E24980" w:rsidRDefault="00FD0392" w:rsidP="009E69CD">
      <w:pPr>
        <w:spacing w:before="120" w:after="120" w:line="360" w:lineRule="auto"/>
        <w:rPr>
          <w:rFonts w:ascii="Arial" w:eastAsia="Calibri" w:hAnsi="Arial" w:cs="Arial"/>
          <w:noProof/>
          <w:color w:val="767171"/>
          <w:sz w:val="22"/>
          <w:szCs w:val="22"/>
        </w:rPr>
      </w:pPr>
      <w:r w:rsidRPr="00E24980">
        <w:rPr>
          <w:rFonts w:ascii="Arial" w:eastAsia="Calibri" w:hAnsi="Arial" w:cs="Arial"/>
          <w:noProof/>
          <w:color w:val="767171"/>
          <w:sz w:val="22"/>
          <w:szCs w:val="22"/>
        </w:rPr>
        <w:t>Dosing Considerations:</w:t>
      </w:r>
    </w:p>
    <w:tbl>
      <w:tblPr>
        <w:tblStyle w:val="TableGrid1"/>
        <w:tblW w:w="8683" w:type="dxa"/>
        <w:tblInd w:w="715" w:type="dxa"/>
        <w:tblLayout w:type="fixed"/>
        <w:tblLook w:val="04A0" w:firstRow="1" w:lastRow="0" w:firstColumn="1" w:lastColumn="0" w:noHBand="0" w:noVBand="1"/>
      </w:tblPr>
      <w:tblGrid>
        <w:gridCol w:w="1092"/>
        <w:gridCol w:w="1555"/>
        <w:gridCol w:w="1463"/>
        <w:gridCol w:w="1555"/>
        <w:gridCol w:w="1555"/>
        <w:gridCol w:w="1463"/>
      </w:tblGrid>
      <w:tr w:rsidR="00FD0392" w:rsidRPr="00E24980" w14:paraId="2274C7A0" w14:textId="77777777" w:rsidTr="00740DF0">
        <w:trPr>
          <w:trHeight w:val="720"/>
        </w:trPr>
        <w:tc>
          <w:tcPr>
            <w:tcW w:w="2647" w:type="dxa"/>
            <w:gridSpan w:val="2"/>
          </w:tcPr>
          <w:p w14:paraId="0A065873"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Medication of Choice</w:t>
            </w:r>
          </w:p>
        </w:tc>
        <w:tc>
          <w:tcPr>
            <w:tcW w:w="1463" w:type="dxa"/>
          </w:tcPr>
          <w:p w14:paraId="307BE2C2"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Initial Dose</w:t>
            </w:r>
          </w:p>
        </w:tc>
        <w:tc>
          <w:tcPr>
            <w:tcW w:w="1555" w:type="dxa"/>
          </w:tcPr>
          <w:p w14:paraId="1BB7020C"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Titration Amount</w:t>
            </w:r>
          </w:p>
        </w:tc>
        <w:tc>
          <w:tcPr>
            <w:tcW w:w="1555" w:type="dxa"/>
          </w:tcPr>
          <w:p w14:paraId="56D64A78"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Goal Dose Minimum</w:t>
            </w:r>
          </w:p>
        </w:tc>
        <w:tc>
          <w:tcPr>
            <w:tcW w:w="1463" w:type="dxa"/>
          </w:tcPr>
          <w:p w14:paraId="75F3BBB3"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Dose Maximum</w:t>
            </w:r>
          </w:p>
        </w:tc>
      </w:tr>
      <w:tr w:rsidR="001C25DE" w:rsidRPr="00E24980" w14:paraId="47403662" w14:textId="77777777" w:rsidTr="00740DF0">
        <w:trPr>
          <w:trHeight w:val="720"/>
        </w:trPr>
        <w:tc>
          <w:tcPr>
            <w:tcW w:w="1092" w:type="dxa"/>
          </w:tcPr>
          <w:p w14:paraId="751B19DE"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&lt; 50 kg</w:t>
            </w:r>
          </w:p>
        </w:tc>
        <w:tc>
          <w:tcPr>
            <w:tcW w:w="1555" w:type="dxa"/>
          </w:tcPr>
          <w:p w14:paraId="2BBC4433"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Dapagliflozin</w:t>
            </w:r>
          </w:p>
        </w:tc>
        <w:tc>
          <w:tcPr>
            <w:tcW w:w="1463" w:type="dxa"/>
          </w:tcPr>
          <w:p w14:paraId="70911764"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0.1 mg/kg/dose daily</w:t>
            </w:r>
          </w:p>
        </w:tc>
        <w:tc>
          <w:tcPr>
            <w:tcW w:w="1555" w:type="dxa"/>
          </w:tcPr>
          <w:p w14:paraId="093B4062"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0.1 mg/kg/dose daily</w:t>
            </w:r>
          </w:p>
        </w:tc>
        <w:tc>
          <w:tcPr>
            <w:tcW w:w="1555" w:type="dxa"/>
          </w:tcPr>
          <w:p w14:paraId="41219631"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0.1 mg/kg/dose daily</w:t>
            </w:r>
          </w:p>
        </w:tc>
        <w:tc>
          <w:tcPr>
            <w:tcW w:w="1463" w:type="dxa"/>
          </w:tcPr>
          <w:p w14:paraId="408B9E2F"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0.2 mg/kg/dose daily</w:t>
            </w:r>
          </w:p>
        </w:tc>
      </w:tr>
      <w:tr w:rsidR="001C25DE" w:rsidRPr="00E24980" w14:paraId="218D73AC" w14:textId="77777777" w:rsidTr="00740DF0">
        <w:trPr>
          <w:trHeight w:val="720"/>
        </w:trPr>
        <w:tc>
          <w:tcPr>
            <w:tcW w:w="1092" w:type="dxa"/>
          </w:tcPr>
          <w:p w14:paraId="0573281E"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 50 kg</w:t>
            </w:r>
          </w:p>
        </w:tc>
        <w:tc>
          <w:tcPr>
            <w:tcW w:w="1555" w:type="dxa"/>
          </w:tcPr>
          <w:p w14:paraId="2DD6CA8F"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Dapagliflozin</w:t>
            </w:r>
          </w:p>
        </w:tc>
        <w:tc>
          <w:tcPr>
            <w:tcW w:w="1463" w:type="dxa"/>
          </w:tcPr>
          <w:p w14:paraId="2425AA9D"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5-10 mg daily</w:t>
            </w:r>
          </w:p>
        </w:tc>
        <w:tc>
          <w:tcPr>
            <w:tcW w:w="1555" w:type="dxa"/>
          </w:tcPr>
          <w:p w14:paraId="540F1AA2"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5 mg daily</w:t>
            </w:r>
          </w:p>
        </w:tc>
        <w:tc>
          <w:tcPr>
            <w:tcW w:w="1555" w:type="dxa"/>
          </w:tcPr>
          <w:p w14:paraId="627D8B45"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5 mg daily</w:t>
            </w:r>
          </w:p>
        </w:tc>
        <w:tc>
          <w:tcPr>
            <w:tcW w:w="1463" w:type="dxa"/>
          </w:tcPr>
          <w:p w14:paraId="0554CEC8"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10 mg daily</w:t>
            </w:r>
          </w:p>
        </w:tc>
      </w:tr>
      <w:tr w:rsidR="001C25DE" w:rsidRPr="00E24980" w14:paraId="31E5D9E8" w14:textId="77777777" w:rsidTr="00740DF0">
        <w:trPr>
          <w:trHeight w:val="720"/>
        </w:trPr>
        <w:tc>
          <w:tcPr>
            <w:tcW w:w="1092" w:type="dxa"/>
          </w:tcPr>
          <w:p w14:paraId="4A9B5CFC" w14:textId="77777777" w:rsidR="00FD0392" w:rsidRPr="00E24980" w:rsidRDefault="00FD0392" w:rsidP="001C25DE">
            <w:pPr>
              <w:jc w:val="center"/>
              <w:rPr>
                <w:rFonts w:ascii="Arial" w:eastAsia="Calibri" w:hAnsi="Arial" w:cs="Arial"/>
                <w:color w:val="767171"/>
              </w:rPr>
            </w:pPr>
          </w:p>
        </w:tc>
        <w:tc>
          <w:tcPr>
            <w:tcW w:w="1555" w:type="dxa"/>
          </w:tcPr>
          <w:p w14:paraId="454AFEAC"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Empagliflozin</w:t>
            </w:r>
          </w:p>
        </w:tc>
        <w:tc>
          <w:tcPr>
            <w:tcW w:w="1463" w:type="dxa"/>
          </w:tcPr>
          <w:p w14:paraId="6918DF21"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5-10 mg daily</w:t>
            </w:r>
          </w:p>
        </w:tc>
        <w:tc>
          <w:tcPr>
            <w:tcW w:w="1555" w:type="dxa"/>
          </w:tcPr>
          <w:p w14:paraId="7A34DC3C"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w:t>
            </w:r>
          </w:p>
        </w:tc>
        <w:tc>
          <w:tcPr>
            <w:tcW w:w="1555" w:type="dxa"/>
          </w:tcPr>
          <w:p w14:paraId="58F1F589"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10 mg daily</w:t>
            </w:r>
          </w:p>
        </w:tc>
        <w:tc>
          <w:tcPr>
            <w:tcW w:w="1463" w:type="dxa"/>
          </w:tcPr>
          <w:p w14:paraId="55657FD4" w14:textId="77777777" w:rsidR="00FD0392" w:rsidRPr="00E24980" w:rsidRDefault="00FD0392" w:rsidP="001C25DE">
            <w:pPr>
              <w:jc w:val="center"/>
              <w:rPr>
                <w:rFonts w:ascii="Arial" w:eastAsia="Calibri" w:hAnsi="Arial" w:cs="Arial"/>
                <w:color w:val="767171"/>
              </w:rPr>
            </w:pPr>
            <w:r w:rsidRPr="00E24980">
              <w:rPr>
                <w:rFonts w:ascii="Arial" w:eastAsia="Calibri" w:hAnsi="Arial" w:cs="Arial"/>
                <w:color w:val="767171"/>
              </w:rPr>
              <w:t>10 mg daily</w:t>
            </w:r>
          </w:p>
        </w:tc>
      </w:tr>
    </w:tbl>
    <w:p w14:paraId="59E576B7" w14:textId="77777777" w:rsidR="00FD0392" w:rsidRPr="00E24980" w:rsidRDefault="00FD0392" w:rsidP="00FD0392">
      <w:pPr>
        <w:rPr>
          <w:rFonts w:ascii="Arial" w:eastAsia="Calibri" w:hAnsi="Arial" w:cs="Arial"/>
          <w:color w:val="767171"/>
          <w:sz w:val="22"/>
          <w:szCs w:val="22"/>
        </w:rPr>
      </w:pPr>
    </w:p>
    <w:p w14:paraId="530837BA" w14:textId="3C079B23" w:rsidR="00FD0392" w:rsidRPr="00E24980" w:rsidRDefault="00FD0392" w:rsidP="009E69CD">
      <w:pPr>
        <w:spacing w:before="120" w:after="120" w:line="360" w:lineRule="auto"/>
        <w:rPr>
          <w:rFonts w:ascii="Arial" w:eastAsia="Calibri" w:hAnsi="Arial" w:cs="Arial"/>
          <w:color w:val="767171"/>
          <w:sz w:val="22"/>
          <w:szCs w:val="22"/>
        </w:rPr>
      </w:pPr>
      <w:r w:rsidRPr="00E24980">
        <w:rPr>
          <w:rFonts w:ascii="Arial" w:eastAsia="Calibri" w:hAnsi="Arial" w:cs="Arial"/>
          <w:color w:val="767171"/>
          <w:sz w:val="22"/>
          <w:szCs w:val="22"/>
        </w:rPr>
        <w:t>Therapeutic monitoring</w:t>
      </w:r>
      <w:r w:rsidR="00740DF0" w:rsidRPr="00E24980">
        <w:rPr>
          <w:rFonts w:ascii="Arial" w:eastAsia="Calibri" w:hAnsi="Arial" w:cs="Arial"/>
          <w:color w:val="767171"/>
          <w:sz w:val="22"/>
          <w:szCs w:val="22"/>
        </w:rPr>
        <w:t>:</w:t>
      </w:r>
    </w:p>
    <w:p w14:paraId="7D4EADF6" w14:textId="77777777" w:rsidR="00FD0392" w:rsidRPr="00E24980" w:rsidRDefault="00FD0392" w:rsidP="009E69CD">
      <w:pPr>
        <w:numPr>
          <w:ilvl w:val="0"/>
          <w:numId w:val="28"/>
        </w:numPr>
        <w:spacing w:before="120" w:after="120" w:line="360" w:lineRule="auto"/>
        <w:rPr>
          <w:rFonts w:ascii="Arial" w:eastAsia="Calibri" w:hAnsi="Arial" w:cs="Arial"/>
          <w:color w:val="767171"/>
          <w:sz w:val="22"/>
          <w:szCs w:val="22"/>
        </w:rPr>
      </w:pPr>
      <w:r w:rsidRPr="00E24980">
        <w:rPr>
          <w:rFonts w:ascii="Arial" w:eastAsia="Calibri" w:hAnsi="Arial" w:cs="Arial"/>
          <w:color w:val="767171"/>
          <w:sz w:val="22"/>
          <w:szCs w:val="22"/>
        </w:rPr>
        <w:lastRenderedPageBreak/>
        <w:t>Baseline renal function and Glucose</w:t>
      </w:r>
    </w:p>
    <w:p w14:paraId="4E74BCF0" w14:textId="77777777" w:rsidR="00FD0392" w:rsidRPr="00E24980" w:rsidRDefault="00FD0392" w:rsidP="009E69CD">
      <w:pPr>
        <w:numPr>
          <w:ilvl w:val="1"/>
          <w:numId w:val="28"/>
        </w:numPr>
        <w:spacing w:before="120" w:after="120" w:line="360" w:lineRule="auto"/>
        <w:rPr>
          <w:rFonts w:ascii="Arial" w:eastAsia="Calibri" w:hAnsi="Arial" w:cs="Arial"/>
          <w:color w:val="767171"/>
          <w:sz w:val="22"/>
          <w:szCs w:val="22"/>
        </w:rPr>
      </w:pPr>
      <w:r w:rsidRPr="00E24980">
        <w:rPr>
          <w:rFonts w:ascii="Arial" w:eastAsia="Calibri" w:hAnsi="Arial" w:cs="Arial"/>
          <w:color w:val="767171"/>
          <w:sz w:val="22"/>
          <w:szCs w:val="22"/>
        </w:rPr>
        <w:t>Check renal panel, HgbA1c, and glucose prior to initiation. Timing based on patient age and clinical status but generally should be within 7 to 14 days of initiation.</w:t>
      </w:r>
    </w:p>
    <w:p w14:paraId="6F8125B7" w14:textId="77777777" w:rsidR="00FD0392" w:rsidRPr="00E24980" w:rsidRDefault="00FD0392" w:rsidP="009E69CD">
      <w:pPr>
        <w:numPr>
          <w:ilvl w:val="1"/>
          <w:numId w:val="28"/>
        </w:numPr>
        <w:spacing w:before="120" w:after="120" w:line="360" w:lineRule="auto"/>
        <w:rPr>
          <w:rFonts w:ascii="Arial" w:eastAsia="Calibri" w:hAnsi="Arial" w:cs="Arial"/>
          <w:color w:val="767171"/>
          <w:sz w:val="22"/>
          <w:szCs w:val="22"/>
        </w:rPr>
      </w:pPr>
      <w:r w:rsidRPr="00E24980">
        <w:rPr>
          <w:rFonts w:ascii="Arial" w:eastAsia="Calibri" w:hAnsi="Arial" w:cs="Arial"/>
          <w:color w:val="767171"/>
          <w:sz w:val="22"/>
          <w:szCs w:val="22"/>
        </w:rPr>
        <w:t>Repeat assessment should be performed within 2 weeks to 6 weeks or earlier if clinically indicated to assess hydration and renal function.</w:t>
      </w:r>
    </w:p>
    <w:p w14:paraId="4890D836" w14:textId="77777777" w:rsidR="00FD0392" w:rsidRPr="00E24980" w:rsidRDefault="00FD0392" w:rsidP="009E69CD">
      <w:pPr>
        <w:numPr>
          <w:ilvl w:val="0"/>
          <w:numId w:val="28"/>
        </w:numPr>
        <w:spacing w:before="120" w:after="120" w:line="360" w:lineRule="auto"/>
        <w:rPr>
          <w:rFonts w:ascii="Arial" w:eastAsia="Calibri" w:hAnsi="Arial" w:cs="Arial"/>
          <w:color w:val="767171"/>
          <w:sz w:val="22"/>
          <w:szCs w:val="22"/>
        </w:rPr>
      </w:pPr>
      <w:r w:rsidRPr="00E24980">
        <w:rPr>
          <w:rFonts w:ascii="Arial" w:eastAsia="Calibri" w:hAnsi="Arial" w:cs="Arial"/>
          <w:color w:val="767171"/>
          <w:sz w:val="22"/>
          <w:szCs w:val="22"/>
        </w:rPr>
        <w:t>Urinalysis for glucosuria</w:t>
      </w:r>
    </w:p>
    <w:p w14:paraId="21BF5C00" w14:textId="6D843389" w:rsidR="00FD0392" w:rsidRPr="00E24980" w:rsidRDefault="00FD0392" w:rsidP="00067EFC">
      <w:pPr>
        <w:numPr>
          <w:ilvl w:val="1"/>
          <w:numId w:val="28"/>
        </w:numPr>
        <w:spacing w:before="120" w:after="120" w:line="360" w:lineRule="auto"/>
        <w:rPr>
          <w:rFonts w:ascii="Arial" w:eastAsia="Calibri" w:hAnsi="Arial" w:cs="Arial"/>
          <w:color w:val="767171"/>
        </w:rPr>
      </w:pPr>
      <w:r w:rsidRPr="00E24980">
        <w:rPr>
          <w:rFonts w:ascii="Arial" w:eastAsia="Calibri" w:hAnsi="Arial" w:cs="Arial"/>
          <w:color w:val="767171"/>
          <w:sz w:val="22"/>
          <w:szCs w:val="22"/>
        </w:rPr>
        <w:t>For smaller patients on smaller doses of dapagliflozin, repeat urinalysis within 1-3 weeks is reasonable to assess for presence of glucosuria. If glucosuria is not present, it is reasonable to increase to the higher dose if tolerated.</w:t>
      </w:r>
    </w:p>
    <w:p w14:paraId="45393D26" w14:textId="613EDD55"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6"/>
        </w:rPr>
        <w:fldChar w:fldCharType="begin"/>
      </w:r>
      <w:r w:rsidRPr="00E24980">
        <w:rPr>
          <w:rFonts w:ascii="Arial" w:eastAsia="Calibri" w:hAnsi="Arial" w:cs="Arial"/>
          <w:color w:val="767171"/>
          <w:sz w:val="16"/>
          <w:szCs w:val="16"/>
        </w:rPr>
        <w:instrText xml:space="preserve"> ADDIN ZOTERO_BIBL {"uncited":[],"omitted":[],"custom":[]} CSL_BIBLIOGRAPHY </w:instrText>
      </w:r>
      <w:r w:rsidRPr="00E24980">
        <w:rPr>
          <w:rFonts w:ascii="Arial" w:eastAsia="Calibri" w:hAnsi="Arial" w:cs="Arial"/>
          <w:color w:val="767171"/>
          <w:sz w:val="16"/>
          <w:szCs w:val="16"/>
        </w:rPr>
        <w:fldChar w:fldCharType="separate"/>
      </w:r>
      <w:r w:rsidRPr="00E24980">
        <w:rPr>
          <w:rFonts w:ascii="Arial" w:eastAsia="Calibri" w:hAnsi="Arial" w:cs="Arial"/>
          <w:color w:val="767171"/>
          <w:sz w:val="16"/>
          <w:szCs w:val="18"/>
        </w:rPr>
        <w:t>1.</w:t>
      </w:r>
      <w:r w:rsidR="00D40332" w:rsidRPr="00E24980">
        <w:rPr>
          <w:rFonts w:ascii="Arial" w:eastAsia="Calibri" w:hAnsi="Arial" w:cs="Arial"/>
          <w:color w:val="767171"/>
          <w:sz w:val="16"/>
          <w:szCs w:val="18"/>
        </w:rPr>
        <w:t xml:space="preserve"> </w:t>
      </w:r>
      <w:r w:rsidRPr="00E24980">
        <w:rPr>
          <w:rFonts w:ascii="Arial" w:eastAsia="Calibri" w:hAnsi="Arial" w:cs="Arial"/>
          <w:color w:val="767171"/>
          <w:sz w:val="16"/>
          <w:szCs w:val="18"/>
        </w:rPr>
        <w:t xml:space="preserve">Anker SD, Butler J, Filippatos G, et al. Empagliflozin in Heart Failure with a Preserved Ejection Fraction. </w:t>
      </w:r>
      <w:r w:rsidRPr="00E24980">
        <w:rPr>
          <w:rFonts w:ascii="Arial" w:eastAsia="Calibri" w:hAnsi="Arial" w:cs="Arial"/>
          <w:i/>
          <w:iCs/>
          <w:color w:val="767171"/>
          <w:sz w:val="16"/>
          <w:szCs w:val="18"/>
        </w:rPr>
        <w:t>N Engl J Med</w:t>
      </w:r>
      <w:r w:rsidRPr="00E24980">
        <w:rPr>
          <w:rFonts w:ascii="Arial" w:eastAsia="Calibri" w:hAnsi="Arial" w:cs="Arial"/>
          <w:color w:val="767171"/>
          <w:sz w:val="16"/>
          <w:szCs w:val="18"/>
        </w:rPr>
        <w:t>. 2021;385(16):1451-1461. doi:10.1056/NEJMoa2107038</w:t>
      </w:r>
    </w:p>
    <w:p w14:paraId="3FEBA9C8" w14:textId="09C838FC"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8"/>
        </w:rPr>
        <w:t>2.</w:t>
      </w:r>
      <w:r w:rsidR="00D40332" w:rsidRPr="00E24980">
        <w:rPr>
          <w:rFonts w:ascii="Arial" w:eastAsia="Calibri" w:hAnsi="Arial" w:cs="Arial"/>
          <w:color w:val="767171"/>
          <w:sz w:val="16"/>
          <w:szCs w:val="18"/>
        </w:rPr>
        <w:t xml:space="preserve"> </w:t>
      </w:r>
      <w:r w:rsidRPr="00E24980">
        <w:rPr>
          <w:rFonts w:ascii="Arial" w:eastAsia="Calibri" w:hAnsi="Arial" w:cs="Arial"/>
          <w:color w:val="767171"/>
          <w:sz w:val="16"/>
          <w:szCs w:val="18"/>
        </w:rPr>
        <w:t xml:space="preserve">Anker SD, Butler J, Filippatos G, et al. Effect of Empagliflozin on Cardiovascular and Renal Outcomes in Patients With Heart Failure by Baseline Diabetes Status: Results From the EMPEROR-Reduced Trial. </w:t>
      </w:r>
      <w:r w:rsidRPr="00E24980">
        <w:rPr>
          <w:rFonts w:ascii="Arial" w:eastAsia="Calibri" w:hAnsi="Arial" w:cs="Arial"/>
          <w:i/>
          <w:iCs/>
          <w:color w:val="767171"/>
          <w:sz w:val="16"/>
          <w:szCs w:val="18"/>
        </w:rPr>
        <w:t>Circulation</w:t>
      </w:r>
      <w:r w:rsidRPr="00E24980">
        <w:rPr>
          <w:rFonts w:ascii="Arial" w:eastAsia="Calibri" w:hAnsi="Arial" w:cs="Arial"/>
          <w:color w:val="767171"/>
          <w:sz w:val="16"/>
          <w:szCs w:val="18"/>
        </w:rPr>
        <w:t>. 2021;143(4):337-349. doi:10.1161/CIRCULATIONAHA.120.051824</w:t>
      </w:r>
    </w:p>
    <w:p w14:paraId="4EDD225D" w14:textId="3A3E7982"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8"/>
        </w:rPr>
        <w:t>3.</w:t>
      </w:r>
      <w:r w:rsidR="00D40332" w:rsidRPr="00E24980">
        <w:rPr>
          <w:rFonts w:ascii="Arial" w:eastAsia="Calibri" w:hAnsi="Arial" w:cs="Arial"/>
          <w:color w:val="767171"/>
          <w:sz w:val="16"/>
          <w:szCs w:val="18"/>
        </w:rPr>
        <w:t xml:space="preserve"> </w:t>
      </w:r>
      <w:r w:rsidRPr="00E24980">
        <w:rPr>
          <w:rFonts w:ascii="Arial" w:eastAsia="Calibri" w:hAnsi="Arial" w:cs="Arial"/>
          <w:color w:val="767171"/>
          <w:sz w:val="16"/>
          <w:szCs w:val="18"/>
        </w:rPr>
        <w:t>2022 AHA/ACC/HFSA Guideline for the Management of Heart Failure: A Report of the American College of Cardiology/American Heart Association Joint Committee on Clinical Practice Guidelines. doi:10.1161/CIR.0000000000001063</w:t>
      </w:r>
    </w:p>
    <w:p w14:paraId="147C3948" w14:textId="7BF67DA1"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8"/>
        </w:rPr>
        <w:t>4.</w:t>
      </w:r>
      <w:r w:rsidR="00D40332" w:rsidRPr="00E24980">
        <w:rPr>
          <w:rFonts w:ascii="Arial" w:eastAsia="Calibri" w:hAnsi="Arial" w:cs="Arial"/>
          <w:color w:val="767171"/>
          <w:sz w:val="16"/>
          <w:szCs w:val="18"/>
        </w:rPr>
        <w:t xml:space="preserve"> </w:t>
      </w:r>
      <w:r w:rsidRPr="00E24980">
        <w:rPr>
          <w:rFonts w:ascii="Arial" w:eastAsia="Calibri" w:hAnsi="Arial" w:cs="Arial"/>
          <w:color w:val="767171"/>
          <w:sz w:val="16"/>
          <w:szCs w:val="18"/>
        </w:rPr>
        <w:t xml:space="preserve">Voors AA. Novel recommendations for the treatment of patients with heart failure: 2023 Focused Update of the 2021 ESC Heart Failure Guidelines. </w:t>
      </w:r>
      <w:r w:rsidRPr="00E24980">
        <w:rPr>
          <w:rFonts w:ascii="Arial" w:eastAsia="Calibri" w:hAnsi="Arial" w:cs="Arial"/>
          <w:i/>
          <w:iCs/>
          <w:color w:val="767171"/>
          <w:sz w:val="16"/>
          <w:szCs w:val="18"/>
        </w:rPr>
        <w:t>J Card Fail</w:t>
      </w:r>
      <w:r w:rsidRPr="00E24980">
        <w:rPr>
          <w:rFonts w:ascii="Arial" w:eastAsia="Calibri" w:hAnsi="Arial" w:cs="Arial"/>
          <w:color w:val="767171"/>
          <w:sz w:val="16"/>
          <w:szCs w:val="18"/>
        </w:rPr>
        <w:t>. Published online September 2023:S1071916423003147. doi:10.1016/j.cardfail.2023.08.017</w:t>
      </w:r>
    </w:p>
    <w:p w14:paraId="7CAE3D6B" w14:textId="5A975DCE"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8"/>
          <w:lang w:val="da-DK"/>
        </w:rPr>
        <w:t>5.</w:t>
      </w:r>
      <w:r w:rsidR="00D40332" w:rsidRPr="00E24980">
        <w:rPr>
          <w:rFonts w:ascii="Arial" w:eastAsia="Calibri" w:hAnsi="Arial" w:cs="Arial"/>
          <w:color w:val="767171"/>
          <w:sz w:val="16"/>
          <w:szCs w:val="18"/>
          <w:lang w:val="da-DK"/>
        </w:rPr>
        <w:t xml:space="preserve"> </w:t>
      </w:r>
      <w:r w:rsidRPr="00E24980">
        <w:rPr>
          <w:rFonts w:ascii="Arial" w:eastAsia="Calibri" w:hAnsi="Arial" w:cs="Arial"/>
          <w:color w:val="767171"/>
          <w:sz w:val="16"/>
          <w:szCs w:val="18"/>
          <w:lang w:val="da-DK"/>
        </w:rPr>
        <w:t xml:space="preserve">Newland DM, Law YM, Albers EL, et al. </w:t>
      </w:r>
      <w:r w:rsidRPr="00E24980">
        <w:rPr>
          <w:rFonts w:ascii="Arial" w:eastAsia="Calibri" w:hAnsi="Arial" w:cs="Arial"/>
          <w:color w:val="767171"/>
          <w:sz w:val="16"/>
          <w:szCs w:val="18"/>
        </w:rPr>
        <w:t xml:space="preserve">Early Clinical Experience with Dapagliflozin in Children with Heart Failure. </w:t>
      </w:r>
      <w:r w:rsidRPr="00E24980">
        <w:rPr>
          <w:rFonts w:ascii="Arial" w:eastAsia="Calibri" w:hAnsi="Arial" w:cs="Arial"/>
          <w:i/>
          <w:iCs/>
          <w:color w:val="767171"/>
          <w:sz w:val="16"/>
          <w:szCs w:val="18"/>
        </w:rPr>
        <w:t>Pediatr Cardiol</w:t>
      </w:r>
      <w:r w:rsidRPr="00E24980">
        <w:rPr>
          <w:rFonts w:ascii="Arial" w:eastAsia="Calibri" w:hAnsi="Arial" w:cs="Arial"/>
          <w:color w:val="767171"/>
          <w:sz w:val="16"/>
          <w:szCs w:val="18"/>
        </w:rPr>
        <w:t>. 2023;44(1):146-152. doi:10.1007/s00246-022-02983-0</w:t>
      </w:r>
    </w:p>
    <w:p w14:paraId="43772FE7" w14:textId="029649BC"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8"/>
        </w:rPr>
        <w:t>6.</w:t>
      </w:r>
      <w:r w:rsidR="00D40332" w:rsidRPr="00E24980">
        <w:rPr>
          <w:rFonts w:ascii="Arial" w:eastAsia="Calibri" w:hAnsi="Arial" w:cs="Arial"/>
          <w:color w:val="767171"/>
          <w:sz w:val="16"/>
          <w:szCs w:val="18"/>
        </w:rPr>
        <w:t xml:space="preserve"> </w:t>
      </w:r>
      <w:r w:rsidRPr="00E24980">
        <w:rPr>
          <w:rFonts w:ascii="Arial" w:eastAsia="Calibri" w:hAnsi="Arial" w:cs="Arial"/>
          <w:color w:val="767171"/>
          <w:sz w:val="16"/>
          <w:szCs w:val="18"/>
        </w:rPr>
        <w:t>Preoperative Cessation of SGLT2i. American College of Cardiology. Accessed March 3, 2024. https://www.acc.org/Latest-in-Cardiology/Articles/2022/10/07/17/21/http%3a%2f%2fwww.acc.org%2fLatest-in-Cardiology%2fArticles%2f2022%2f10%2f07%2f17%2f21%2fPreoperative-Cessation-of-SGLT2i</w:t>
      </w:r>
    </w:p>
    <w:p w14:paraId="4E757879" w14:textId="144D3AFB"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8"/>
        </w:rPr>
        <w:t>7.</w:t>
      </w:r>
      <w:r w:rsidR="00D40332" w:rsidRPr="00E24980">
        <w:rPr>
          <w:rFonts w:ascii="Arial" w:eastAsia="Calibri" w:hAnsi="Arial" w:cs="Arial"/>
          <w:color w:val="767171"/>
          <w:sz w:val="16"/>
          <w:szCs w:val="18"/>
        </w:rPr>
        <w:t xml:space="preserve"> </w:t>
      </w:r>
      <w:r w:rsidRPr="00E24980">
        <w:rPr>
          <w:rFonts w:ascii="Arial" w:eastAsia="Calibri" w:hAnsi="Arial" w:cs="Arial"/>
          <w:color w:val="767171"/>
          <w:sz w:val="16"/>
          <w:szCs w:val="18"/>
        </w:rPr>
        <w:t xml:space="preserve">Research C for DE and. FDA revises labels of SGLT2 inhibitors for diabetes to include warnings about too much acid in the blood and serious urinary tract infections. </w:t>
      </w:r>
      <w:r w:rsidRPr="00E24980">
        <w:rPr>
          <w:rFonts w:ascii="Arial" w:eastAsia="Calibri" w:hAnsi="Arial" w:cs="Arial"/>
          <w:i/>
          <w:iCs/>
          <w:color w:val="767171"/>
          <w:sz w:val="16"/>
          <w:szCs w:val="18"/>
        </w:rPr>
        <w:t>FDA</w:t>
      </w:r>
      <w:r w:rsidRPr="00E24980">
        <w:rPr>
          <w:rFonts w:ascii="Arial" w:eastAsia="Calibri" w:hAnsi="Arial" w:cs="Arial"/>
          <w:color w:val="767171"/>
          <w:sz w:val="16"/>
          <w:szCs w:val="18"/>
        </w:rPr>
        <w:t>. Published online August 23, 2023. Accessed March 3, 2024. https://www.fda.gov/drugs/drug-safety-and-availability/fda-revises-labels-sglt2-inhibitors-diabetes-include-warnings-about-too-much-acid-blood-and-serious</w:t>
      </w:r>
    </w:p>
    <w:p w14:paraId="0B9BA5B5" w14:textId="3222F824" w:rsidR="00FD0392" w:rsidRPr="00E24980" w:rsidRDefault="00FD0392" w:rsidP="00FD0392">
      <w:pPr>
        <w:spacing w:line="240" w:lineRule="exact"/>
        <w:rPr>
          <w:rFonts w:ascii="Arial" w:eastAsia="Calibri" w:hAnsi="Arial" w:cs="Arial"/>
          <w:color w:val="767171"/>
          <w:sz w:val="16"/>
          <w:szCs w:val="18"/>
        </w:rPr>
      </w:pPr>
      <w:r w:rsidRPr="00E24980">
        <w:rPr>
          <w:rFonts w:ascii="Arial" w:eastAsia="Calibri" w:hAnsi="Arial" w:cs="Arial"/>
          <w:color w:val="767171"/>
          <w:sz w:val="16"/>
          <w:szCs w:val="18"/>
        </w:rPr>
        <w:t>8.</w:t>
      </w:r>
      <w:r w:rsidR="00D40332" w:rsidRPr="00E24980">
        <w:rPr>
          <w:rFonts w:ascii="Arial" w:eastAsia="Calibri" w:hAnsi="Arial" w:cs="Arial"/>
          <w:color w:val="767171"/>
          <w:sz w:val="16"/>
          <w:szCs w:val="18"/>
        </w:rPr>
        <w:t xml:space="preserve"> </w:t>
      </w:r>
      <w:r w:rsidRPr="00E24980">
        <w:rPr>
          <w:rFonts w:ascii="Arial" w:eastAsia="Calibri" w:hAnsi="Arial" w:cs="Arial"/>
          <w:color w:val="767171"/>
          <w:sz w:val="16"/>
          <w:szCs w:val="18"/>
        </w:rPr>
        <w:t xml:space="preserve">Raiten JM, Morlok A, D’Ambrosia S, Ruggero MA, Flood J. Perioperative Management of Patients Receiving Sodium-Glucose Cotransporter 2 Inhibitors: Development of a Clinical Guideline at a Large Academic Medical Center. </w:t>
      </w:r>
      <w:r w:rsidRPr="00E24980">
        <w:rPr>
          <w:rFonts w:ascii="Arial" w:eastAsia="Calibri" w:hAnsi="Arial" w:cs="Arial"/>
          <w:i/>
          <w:iCs/>
          <w:color w:val="767171"/>
          <w:sz w:val="16"/>
          <w:szCs w:val="18"/>
        </w:rPr>
        <w:t>J Cardiothorac Vasc Anesth</w:t>
      </w:r>
      <w:r w:rsidRPr="00E24980">
        <w:rPr>
          <w:rFonts w:ascii="Arial" w:eastAsia="Calibri" w:hAnsi="Arial" w:cs="Arial"/>
          <w:color w:val="767171"/>
          <w:sz w:val="16"/>
          <w:szCs w:val="18"/>
        </w:rPr>
        <w:t>. 2024;38(1):57-66. doi:10.1053/j.jvca.2023.10.011</w:t>
      </w:r>
    </w:p>
    <w:p w14:paraId="6ED6F33D" w14:textId="6D30CBDF" w:rsidR="00FD0392" w:rsidRPr="00E24980" w:rsidRDefault="00FD0392" w:rsidP="00FD0392">
      <w:pPr>
        <w:spacing w:line="240" w:lineRule="exact"/>
        <w:rPr>
          <w:rFonts w:ascii="Arial" w:hAnsi="Arial" w:cs="Arial"/>
          <w:b/>
          <w:color w:val="578988"/>
          <w:spacing w:val="20"/>
          <w:sz w:val="20"/>
          <w:szCs w:val="20"/>
        </w:rPr>
      </w:pPr>
      <w:r w:rsidRPr="00E24980">
        <w:rPr>
          <w:rFonts w:ascii="Arial" w:eastAsia="Calibri" w:hAnsi="Arial" w:cs="Arial"/>
          <w:color w:val="767171"/>
          <w:sz w:val="16"/>
          <w:szCs w:val="16"/>
        </w:rPr>
        <w:fldChar w:fldCharType="end"/>
      </w:r>
    </w:p>
    <w:p w14:paraId="0255A782" w14:textId="77777777" w:rsidR="00256B45" w:rsidRPr="00E24980" w:rsidRDefault="00256B45" w:rsidP="00256B45">
      <w:pPr>
        <w:spacing w:line="240" w:lineRule="exact"/>
        <w:rPr>
          <w:rFonts w:ascii="Arial" w:hAnsi="Arial" w:cs="Arial"/>
          <w:b/>
          <w:color w:val="578988"/>
          <w:spacing w:val="20"/>
          <w:sz w:val="18"/>
          <w:szCs w:val="18"/>
        </w:rPr>
      </w:pPr>
      <w:r w:rsidRPr="00E24980">
        <w:rPr>
          <w:rFonts w:ascii="Arial" w:hAnsi="Arial" w:cs="Arial"/>
          <w:b/>
          <w:color w:val="578988"/>
          <w:spacing w:val="20"/>
          <w:sz w:val="18"/>
          <w:szCs w:val="18"/>
        </w:rPr>
        <w:t xml:space="preserve">AUTHORS </w:t>
      </w:r>
    </w:p>
    <w:p w14:paraId="68A1CFC5" w14:textId="59331169" w:rsidR="00256B45" w:rsidRPr="00E24980" w:rsidRDefault="00FD0392" w:rsidP="00256B45">
      <w:pPr>
        <w:spacing w:line="240" w:lineRule="exact"/>
        <w:rPr>
          <w:rFonts w:ascii="Arial" w:eastAsia="Calibri" w:hAnsi="Arial" w:cs="Arial"/>
          <w:color w:val="808080"/>
          <w:sz w:val="16"/>
          <w:szCs w:val="18"/>
        </w:rPr>
      </w:pPr>
      <w:r w:rsidRPr="00E24980">
        <w:rPr>
          <w:rFonts w:ascii="Arial" w:eastAsia="Calibri" w:hAnsi="Arial" w:cs="Arial"/>
          <w:color w:val="808080"/>
          <w:sz w:val="16"/>
          <w:szCs w:val="18"/>
        </w:rPr>
        <w:t>Ryan Butts, Borah Hong, Deip Nandi, Joey Spinner</w:t>
      </w:r>
    </w:p>
    <w:p w14:paraId="275E3BAC" w14:textId="77777777" w:rsidR="00B17807" w:rsidRPr="00E24980" w:rsidRDefault="00B17807" w:rsidP="00256B45">
      <w:pPr>
        <w:spacing w:line="240" w:lineRule="exact"/>
        <w:rPr>
          <w:rFonts w:ascii="Arial" w:hAnsi="Arial" w:cs="Arial"/>
          <w:color w:val="6C6C6C"/>
          <w:sz w:val="16"/>
          <w:szCs w:val="16"/>
        </w:rPr>
      </w:pPr>
    </w:p>
    <w:p w14:paraId="22AC946E" w14:textId="77777777" w:rsidR="00256B45" w:rsidRPr="00E24980" w:rsidRDefault="00256B45" w:rsidP="00256B45">
      <w:pPr>
        <w:spacing w:line="240" w:lineRule="exact"/>
        <w:rPr>
          <w:rFonts w:ascii="Arial" w:hAnsi="Arial" w:cs="Arial"/>
          <w:b/>
          <w:color w:val="578988"/>
          <w:spacing w:val="20"/>
          <w:sz w:val="18"/>
          <w:szCs w:val="18"/>
        </w:rPr>
      </w:pPr>
      <w:r w:rsidRPr="00E24980">
        <w:rPr>
          <w:rFonts w:ascii="Arial" w:hAnsi="Arial" w:cs="Arial"/>
          <w:b/>
          <w:color w:val="578988"/>
          <w:spacing w:val="20"/>
          <w:sz w:val="18"/>
          <w:szCs w:val="18"/>
        </w:rPr>
        <w:t>CONTRIBUTING CENTERS</w:t>
      </w:r>
    </w:p>
    <w:p w14:paraId="5C6F7394" w14:textId="7B033309" w:rsidR="00FB32D1" w:rsidRPr="00E24980" w:rsidRDefault="00D40332" w:rsidP="00256B45">
      <w:pPr>
        <w:spacing w:line="240" w:lineRule="exact"/>
        <w:rPr>
          <w:rFonts w:ascii="Arial" w:eastAsia="Calibri" w:hAnsi="Arial" w:cs="Arial"/>
          <w:color w:val="808080"/>
          <w:sz w:val="16"/>
          <w:szCs w:val="18"/>
        </w:rPr>
      </w:pPr>
      <w:r w:rsidRPr="00E24980">
        <w:rPr>
          <w:rFonts w:ascii="Arial" w:eastAsia="Calibri" w:hAnsi="Arial" w:cs="Arial"/>
          <w:color w:val="808080"/>
          <w:sz w:val="16"/>
          <w:szCs w:val="18"/>
        </w:rPr>
        <w:t>Children’s Health Dallas/UT Southwestern, Seattle Children’s Hospital, Nationwide Children’s Hospital, Texas Children’s Hospital</w:t>
      </w:r>
    </w:p>
    <w:p w14:paraId="3AB1CD1B" w14:textId="77777777" w:rsidR="00256B45" w:rsidRPr="00E24980" w:rsidRDefault="00256B45" w:rsidP="00256B45">
      <w:pPr>
        <w:spacing w:line="240" w:lineRule="exact"/>
        <w:rPr>
          <w:rFonts w:ascii="Arial" w:hAnsi="Arial" w:cs="Arial"/>
          <w:i/>
          <w:color w:val="6C6C6C"/>
          <w:sz w:val="16"/>
          <w:szCs w:val="16"/>
        </w:rPr>
      </w:pPr>
    </w:p>
    <w:p w14:paraId="30DA1893" w14:textId="5C7ABAF4" w:rsidR="00256B45" w:rsidRPr="00E24980" w:rsidRDefault="00256B45" w:rsidP="00256B45">
      <w:pPr>
        <w:spacing w:line="240" w:lineRule="exact"/>
        <w:rPr>
          <w:rFonts w:ascii="Arial" w:hAnsi="Arial" w:cs="Arial"/>
          <w:color w:val="6C6C6C"/>
          <w:sz w:val="16"/>
          <w:szCs w:val="16"/>
        </w:rPr>
      </w:pPr>
      <w:r w:rsidRPr="00E24980">
        <w:rPr>
          <w:rFonts w:ascii="Arial" w:hAnsi="Arial" w:cs="Arial"/>
          <w:b/>
          <w:i/>
          <w:color w:val="6C6C6C"/>
          <w:sz w:val="16"/>
          <w:szCs w:val="16"/>
        </w:rPr>
        <w:t>Disclaimer:</w:t>
      </w:r>
      <w:r w:rsidRPr="00E24980">
        <w:rPr>
          <w:rFonts w:ascii="Arial" w:hAnsi="Arial" w:cs="Arial"/>
          <w:i/>
          <w:color w:val="6C6C6C"/>
          <w:sz w:val="16"/>
          <w:szCs w:val="16"/>
        </w:rPr>
        <w:t xml:space="preserve"> </w:t>
      </w:r>
      <w:r w:rsidR="00AC637F" w:rsidRPr="00E24980">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sidRPr="00E24980">
        <w:rPr>
          <w:rFonts w:ascii="Arial" w:hAnsi="Arial" w:cs="Arial"/>
          <w:i/>
          <w:color w:val="6C6C6C"/>
          <w:sz w:val="16"/>
          <w:szCs w:val="16"/>
        </w:rPr>
        <w:t xml:space="preserve">  (</w:t>
      </w:r>
      <w:r w:rsidR="00AC637F" w:rsidRPr="00E24980">
        <w:rPr>
          <w:rFonts w:ascii="Arial" w:hAnsi="Arial" w:cs="Arial"/>
          <w:i/>
          <w:color w:val="6C6C6C"/>
          <w:sz w:val="16"/>
          <w:szCs w:val="16"/>
        </w:rPr>
        <w:t xml:space="preserve">Revised: </w:t>
      </w:r>
      <w:r w:rsidR="00740DF0" w:rsidRPr="00E24980">
        <w:rPr>
          <w:rFonts w:ascii="Arial" w:hAnsi="Arial" w:cs="Arial"/>
          <w:i/>
          <w:color w:val="6C6C6C"/>
          <w:sz w:val="16"/>
          <w:szCs w:val="16"/>
        </w:rPr>
        <w:t>05/23/</w:t>
      </w:r>
      <w:r w:rsidR="009E69CD" w:rsidRPr="00E24980">
        <w:rPr>
          <w:rFonts w:ascii="Arial" w:hAnsi="Arial" w:cs="Arial"/>
          <w:i/>
          <w:color w:val="6C6C6C"/>
          <w:sz w:val="16"/>
          <w:szCs w:val="16"/>
        </w:rPr>
        <w:t>2024</w:t>
      </w:r>
      <w:r w:rsidR="0033498B" w:rsidRPr="00E24980">
        <w:rPr>
          <w:rFonts w:ascii="Arial" w:hAnsi="Arial" w:cs="Arial"/>
          <w:i/>
          <w:color w:val="6C6C6C"/>
          <w:sz w:val="16"/>
          <w:szCs w:val="16"/>
        </w:rPr>
        <w:t>)</w:t>
      </w:r>
    </w:p>
    <w:sectPr w:rsidR="00256B45" w:rsidRPr="00E24980" w:rsidSect="00D40332">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E84B" w14:textId="77777777" w:rsidR="00346585" w:rsidRDefault="00346585" w:rsidP="001F67B8">
      <w:r>
        <w:separator/>
      </w:r>
    </w:p>
  </w:endnote>
  <w:endnote w:type="continuationSeparator" w:id="0">
    <w:p w14:paraId="01CB222A" w14:textId="77777777" w:rsidR="00346585" w:rsidRDefault="00346585"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3D993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366733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126C" w14:textId="77777777" w:rsidR="00346585" w:rsidRDefault="00346585" w:rsidP="001F67B8">
      <w:r>
        <w:separator/>
      </w:r>
    </w:p>
  </w:footnote>
  <w:footnote w:type="continuationSeparator" w:id="0">
    <w:p w14:paraId="7D356189" w14:textId="77777777" w:rsidR="00346585" w:rsidRDefault="00346585"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882864787" name="Picture 88286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063545966" name="Picture 206354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41DE3"/>
    <w:multiLevelType w:val="hybridMultilevel"/>
    <w:tmpl w:val="7F60E918"/>
    <w:lvl w:ilvl="0" w:tplc="75A6D7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76283"/>
    <w:multiLevelType w:val="hybridMultilevel"/>
    <w:tmpl w:val="AC1409A2"/>
    <w:lvl w:ilvl="0" w:tplc="75A6D7BE">
      <w:start w:val="2"/>
      <w:numFmt w:val="bullet"/>
      <w:lvlText w:val="-"/>
      <w:lvlJc w:val="left"/>
      <w:pPr>
        <w:ind w:left="360" w:hanging="360"/>
      </w:pPr>
      <w:rPr>
        <w:rFonts w:ascii="Calibri" w:eastAsiaTheme="minorHAnsi" w:hAnsi="Calibri" w:cs="Calibri" w:hint="default"/>
      </w:rPr>
    </w:lvl>
    <w:lvl w:ilvl="1" w:tplc="05B40D6E">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2F44E9"/>
    <w:multiLevelType w:val="hybridMultilevel"/>
    <w:tmpl w:val="87427E00"/>
    <w:lvl w:ilvl="0" w:tplc="75A6D7BE">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F6E35"/>
    <w:multiLevelType w:val="hybridMultilevel"/>
    <w:tmpl w:val="8B5E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729972">
    <w:abstractNumId w:val="27"/>
  </w:num>
  <w:num w:numId="2" w16cid:durableId="1963032146">
    <w:abstractNumId w:val="12"/>
  </w:num>
  <w:num w:numId="3" w16cid:durableId="1230387302">
    <w:abstractNumId w:val="0"/>
  </w:num>
  <w:num w:numId="4" w16cid:durableId="518590489">
    <w:abstractNumId w:val="30"/>
  </w:num>
  <w:num w:numId="5" w16cid:durableId="857963811">
    <w:abstractNumId w:val="2"/>
  </w:num>
  <w:num w:numId="6" w16cid:durableId="1678851978">
    <w:abstractNumId w:val="4"/>
  </w:num>
  <w:num w:numId="7" w16cid:durableId="729959491">
    <w:abstractNumId w:val="13"/>
  </w:num>
  <w:num w:numId="8" w16cid:durableId="1292444692">
    <w:abstractNumId w:val="25"/>
  </w:num>
  <w:num w:numId="9" w16cid:durableId="2135252497">
    <w:abstractNumId w:val="14"/>
  </w:num>
  <w:num w:numId="10" w16cid:durableId="1913586675">
    <w:abstractNumId w:val="23"/>
  </w:num>
  <w:num w:numId="11" w16cid:durableId="797722193">
    <w:abstractNumId w:val="7"/>
  </w:num>
  <w:num w:numId="12" w16cid:durableId="336272775">
    <w:abstractNumId w:val="20"/>
  </w:num>
  <w:num w:numId="13" w16cid:durableId="1973826888">
    <w:abstractNumId w:val="22"/>
  </w:num>
  <w:num w:numId="14" w16cid:durableId="194467762">
    <w:abstractNumId w:val="10"/>
  </w:num>
  <w:num w:numId="15" w16cid:durableId="1055348859">
    <w:abstractNumId w:val="11"/>
  </w:num>
  <w:num w:numId="16" w16cid:durableId="716710086">
    <w:abstractNumId w:val="16"/>
  </w:num>
  <w:num w:numId="17" w16cid:durableId="1049383432">
    <w:abstractNumId w:val="8"/>
  </w:num>
  <w:num w:numId="18" w16cid:durableId="211577482">
    <w:abstractNumId w:val="26"/>
  </w:num>
  <w:num w:numId="19" w16cid:durableId="268392913">
    <w:abstractNumId w:val="17"/>
  </w:num>
  <w:num w:numId="20" w16cid:durableId="1148744872">
    <w:abstractNumId w:val="21"/>
  </w:num>
  <w:num w:numId="21" w16cid:durableId="227961743">
    <w:abstractNumId w:val="28"/>
  </w:num>
  <w:num w:numId="22" w16cid:durableId="769620982">
    <w:abstractNumId w:val="18"/>
  </w:num>
  <w:num w:numId="23" w16cid:durableId="41832600">
    <w:abstractNumId w:val="3"/>
  </w:num>
  <w:num w:numId="24" w16cid:durableId="675576976">
    <w:abstractNumId w:val="1"/>
  </w:num>
  <w:num w:numId="25" w16cid:durableId="819226246">
    <w:abstractNumId w:val="6"/>
  </w:num>
  <w:num w:numId="26" w16cid:durableId="946498005">
    <w:abstractNumId w:val="24"/>
  </w:num>
  <w:num w:numId="27" w16cid:durableId="279993766">
    <w:abstractNumId w:val="9"/>
  </w:num>
  <w:num w:numId="28" w16cid:durableId="234366810">
    <w:abstractNumId w:val="15"/>
  </w:num>
  <w:num w:numId="29" w16cid:durableId="511725985">
    <w:abstractNumId w:val="5"/>
  </w:num>
  <w:num w:numId="30" w16cid:durableId="620845942">
    <w:abstractNumId w:val="29"/>
  </w:num>
  <w:num w:numId="31" w16cid:durableId="13955464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3"/>
    <w:rsid w:val="00022A7A"/>
    <w:rsid w:val="00067EFC"/>
    <w:rsid w:val="000A072E"/>
    <w:rsid w:val="000A6BAC"/>
    <w:rsid w:val="000D2867"/>
    <w:rsid w:val="001315A0"/>
    <w:rsid w:val="00150197"/>
    <w:rsid w:val="00192198"/>
    <w:rsid w:val="001C25DE"/>
    <w:rsid w:val="001F67B8"/>
    <w:rsid w:val="00256B45"/>
    <w:rsid w:val="00256E9F"/>
    <w:rsid w:val="0026196D"/>
    <w:rsid w:val="002F357E"/>
    <w:rsid w:val="00303239"/>
    <w:rsid w:val="0033498B"/>
    <w:rsid w:val="00346585"/>
    <w:rsid w:val="003514FD"/>
    <w:rsid w:val="00361191"/>
    <w:rsid w:val="003635D4"/>
    <w:rsid w:val="003817FD"/>
    <w:rsid w:val="003919B0"/>
    <w:rsid w:val="003F70E1"/>
    <w:rsid w:val="0041226A"/>
    <w:rsid w:val="00452050"/>
    <w:rsid w:val="00454D58"/>
    <w:rsid w:val="004801B2"/>
    <w:rsid w:val="004A2124"/>
    <w:rsid w:val="004F7453"/>
    <w:rsid w:val="00520AE2"/>
    <w:rsid w:val="005478D5"/>
    <w:rsid w:val="00566D99"/>
    <w:rsid w:val="00581807"/>
    <w:rsid w:val="00594BDE"/>
    <w:rsid w:val="005A0D5F"/>
    <w:rsid w:val="005C3C9E"/>
    <w:rsid w:val="00657D91"/>
    <w:rsid w:val="00675B36"/>
    <w:rsid w:val="006B753E"/>
    <w:rsid w:val="00701A67"/>
    <w:rsid w:val="00740DF0"/>
    <w:rsid w:val="007575DC"/>
    <w:rsid w:val="00790AF8"/>
    <w:rsid w:val="007B522E"/>
    <w:rsid w:val="007B544F"/>
    <w:rsid w:val="007C7746"/>
    <w:rsid w:val="007C79E3"/>
    <w:rsid w:val="007F37BD"/>
    <w:rsid w:val="00801C76"/>
    <w:rsid w:val="00850813"/>
    <w:rsid w:val="00871340"/>
    <w:rsid w:val="008734CA"/>
    <w:rsid w:val="00895D65"/>
    <w:rsid w:val="008B4FB7"/>
    <w:rsid w:val="008D2C90"/>
    <w:rsid w:val="00906150"/>
    <w:rsid w:val="009237DC"/>
    <w:rsid w:val="00984F02"/>
    <w:rsid w:val="009B1CA4"/>
    <w:rsid w:val="009B5B8B"/>
    <w:rsid w:val="009D11D3"/>
    <w:rsid w:val="009E69CD"/>
    <w:rsid w:val="00A06B38"/>
    <w:rsid w:val="00A90CE2"/>
    <w:rsid w:val="00AC637F"/>
    <w:rsid w:val="00AE24A6"/>
    <w:rsid w:val="00B17807"/>
    <w:rsid w:val="00B415AA"/>
    <w:rsid w:val="00B60C4B"/>
    <w:rsid w:val="00B6796D"/>
    <w:rsid w:val="00B73D6A"/>
    <w:rsid w:val="00B857C5"/>
    <w:rsid w:val="00BB1E09"/>
    <w:rsid w:val="00BD6787"/>
    <w:rsid w:val="00C43F82"/>
    <w:rsid w:val="00C52906"/>
    <w:rsid w:val="00C57251"/>
    <w:rsid w:val="00C62ED6"/>
    <w:rsid w:val="00C7326C"/>
    <w:rsid w:val="00CB064E"/>
    <w:rsid w:val="00CB1BE2"/>
    <w:rsid w:val="00CC3167"/>
    <w:rsid w:val="00D01928"/>
    <w:rsid w:val="00D40332"/>
    <w:rsid w:val="00D67398"/>
    <w:rsid w:val="00D7548A"/>
    <w:rsid w:val="00D76FC1"/>
    <w:rsid w:val="00E20A57"/>
    <w:rsid w:val="00E24980"/>
    <w:rsid w:val="00EC044F"/>
    <w:rsid w:val="00EC2695"/>
    <w:rsid w:val="00ED3883"/>
    <w:rsid w:val="00EF5B53"/>
    <w:rsid w:val="00F043A4"/>
    <w:rsid w:val="00F25D13"/>
    <w:rsid w:val="00F858A4"/>
    <w:rsid w:val="00FB32D1"/>
    <w:rsid w:val="00FD0392"/>
    <w:rsid w:val="00FD7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Bibliography">
    <w:name w:val="Bibliography"/>
    <w:basedOn w:val="Normal"/>
    <w:next w:val="Normal"/>
    <w:uiPriority w:val="37"/>
    <w:semiHidden/>
    <w:unhideWhenUsed/>
    <w:rsid w:val="00FD0392"/>
  </w:style>
  <w:style w:type="table" w:customStyle="1" w:styleId="TableGrid1">
    <w:name w:val="Table Grid1"/>
    <w:basedOn w:val="TableNormal"/>
    <w:next w:val="TableGrid"/>
    <w:uiPriority w:val="39"/>
    <w:rsid w:val="00FD039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761E-874D-4353-B440-1EF9E31D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4</cp:revision>
  <dcterms:created xsi:type="dcterms:W3CDTF">2024-05-23T15:06:00Z</dcterms:created>
  <dcterms:modified xsi:type="dcterms:W3CDTF">2025-05-16T13:58:00Z</dcterms:modified>
</cp:coreProperties>
</file>