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0A57DFF0"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4FF3F42B" w:rsidR="00454D58" w:rsidRPr="00454D58" w:rsidRDefault="00CC5F94" w:rsidP="00454D58">
                            <w:pPr>
                              <w:spacing w:line="440" w:lineRule="atLeast"/>
                              <w:rPr>
                                <w:rFonts w:ascii="Arial" w:hAnsi="Arial" w:cs="Arial"/>
                                <w:color w:val="578988"/>
                                <w:sz w:val="36"/>
                                <w:szCs w:val="36"/>
                              </w:rPr>
                            </w:pPr>
                            <w:r w:rsidRPr="00CC5F94">
                              <w:rPr>
                                <w:rFonts w:ascii="Arial" w:hAnsi="Arial" w:cs="Arial"/>
                                <w:color w:val="578988"/>
                                <w:sz w:val="36"/>
                                <w:szCs w:val="36"/>
                              </w:rPr>
                              <w:t xml:space="preserve">Transfusion </w:t>
                            </w:r>
                            <w:r>
                              <w:rPr>
                                <w:rFonts w:ascii="Arial" w:hAnsi="Arial" w:cs="Arial"/>
                                <w:color w:val="578988"/>
                                <w:sz w:val="36"/>
                                <w:szCs w:val="36"/>
                              </w:rPr>
                              <w:t>R</w:t>
                            </w:r>
                            <w:r w:rsidRPr="00CC5F94">
                              <w:rPr>
                                <w:rFonts w:ascii="Arial" w:hAnsi="Arial" w:cs="Arial"/>
                                <w:color w:val="578988"/>
                                <w:sz w:val="36"/>
                                <w:szCs w:val="36"/>
                              </w:rPr>
                              <w:t xml:space="preserve">ationalization on </w:t>
                            </w:r>
                            <w:r>
                              <w:rPr>
                                <w:rFonts w:ascii="Arial" w:hAnsi="Arial" w:cs="Arial"/>
                                <w:color w:val="578988"/>
                                <w:sz w:val="36"/>
                                <w:szCs w:val="36"/>
                              </w:rPr>
                              <w:t>P</w:t>
                            </w:r>
                            <w:r w:rsidRPr="00CC5F94">
                              <w:rPr>
                                <w:rFonts w:ascii="Arial" w:hAnsi="Arial" w:cs="Arial"/>
                                <w:color w:val="578988"/>
                                <w:sz w:val="36"/>
                                <w:szCs w:val="36"/>
                              </w:rPr>
                              <w:t xml:space="preserve">ediatric </w:t>
                            </w:r>
                            <w:r>
                              <w:rPr>
                                <w:rFonts w:ascii="Arial" w:hAnsi="Arial" w:cs="Arial"/>
                                <w:color w:val="578988"/>
                                <w:sz w:val="36"/>
                                <w:szCs w:val="36"/>
                              </w:rPr>
                              <w:t>V</w:t>
                            </w:r>
                            <w:r w:rsidRPr="00CC5F94">
                              <w:rPr>
                                <w:rFonts w:ascii="Arial" w:hAnsi="Arial" w:cs="Arial"/>
                                <w:color w:val="578988"/>
                                <w:sz w:val="36"/>
                                <w:szCs w:val="36"/>
                              </w:rPr>
                              <w:t xml:space="preserve">entricular </w:t>
                            </w:r>
                            <w:r>
                              <w:rPr>
                                <w:rFonts w:ascii="Arial" w:hAnsi="Arial" w:cs="Arial"/>
                                <w:color w:val="578988"/>
                                <w:sz w:val="36"/>
                                <w:szCs w:val="36"/>
                              </w:rPr>
                              <w:t>A</w:t>
                            </w:r>
                            <w:r w:rsidRPr="00CC5F94">
                              <w:rPr>
                                <w:rFonts w:ascii="Arial" w:hAnsi="Arial" w:cs="Arial"/>
                                <w:color w:val="578988"/>
                                <w:sz w:val="36"/>
                                <w:szCs w:val="36"/>
                              </w:rPr>
                              <w:t xml:space="preserve">ssist </w:t>
                            </w:r>
                            <w:r>
                              <w:rPr>
                                <w:rFonts w:ascii="Arial" w:hAnsi="Arial" w:cs="Arial"/>
                                <w:color w:val="578988"/>
                                <w:sz w:val="36"/>
                                <w:szCs w:val="36"/>
                              </w:rPr>
                              <w:t>D</w:t>
                            </w:r>
                            <w:r w:rsidRPr="00CC5F94">
                              <w:rPr>
                                <w:rFonts w:ascii="Arial" w:hAnsi="Arial" w:cs="Arial"/>
                                <w:color w:val="578988"/>
                                <w:sz w:val="36"/>
                                <w:szCs w:val="36"/>
                              </w:rPr>
                              <w:t>evices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16F7DE94" w14:textId="4FF3F42B" w:rsidR="00454D58" w:rsidRPr="00454D58" w:rsidRDefault="00CC5F94" w:rsidP="00454D58">
                      <w:pPr>
                        <w:spacing w:line="440" w:lineRule="atLeast"/>
                        <w:rPr>
                          <w:rFonts w:ascii="Arial" w:hAnsi="Arial" w:cs="Arial"/>
                          <w:color w:val="578988"/>
                          <w:sz w:val="36"/>
                          <w:szCs w:val="36"/>
                        </w:rPr>
                      </w:pPr>
                      <w:r w:rsidRPr="00CC5F94">
                        <w:rPr>
                          <w:rFonts w:ascii="Arial" w:hAnsi="Arial" w:cs="Arial"/>
                          <w:color w:val="578988"/>
                          <w:sz w:val="36"/>
                          <w:szCs w:val="36"/>
                        </w:rPr>
                        <w:t xml:space="preserve">Transfusion </w:t>
                      </w:r>
                      <w:r>
                        <w:rPr>
                          <w:rFonts w:ascii="Arial" w:hAnsi="Arial" w:cs="Arial"/>
                          <w:color w:val="578988"/>
                          <w:sz w:val="36"/>
                          <w:szCs w:val="36"/>
                        </w:rPr>
                        <w:t>R</w:t>
                      </w:r>
                      <w:r w:rsidRPr="00CC5F94">
                        <w:rPr>
                          <w:rFonts w:ascii="Arial" w:hAnsi="Arial" w:cs="Arial"/>
                          <w:color w:val="578988"/>
                          <w:sz w:val="36"/>
                          <w:szCs w:val="36"/>
                        </w:rPr>
                        <w:t xml:space="preserve">ationalization on </w:t>
                      </w:r>
                      <w:r>
                        <w:rPr>
                          <w:rFonts w:ascii="Arial" w:hAnsi="Arial" w:cs="Arial"/>
                          <w:color w:val="578988"/>
                          <w:sz w:val="36"/>
                          <w:szCs w:val="36"/>
                        </w:rPr>
                        <w:t>P</w:t>
                      </w:r>
                      <w:r w:rsidRPr="00CC5F94">
                        <w:rPr>
                          <w:rFonts w:ascii="Arial" w:hAnsi="Arial" w:cs="Arial"/>
                          <w:color w:val="578988"/>
                          <w:sz w:val="36"/>
                          <w:szCs w:val="36"/>
                        </w:rPr>
                        <w:t xml:space="preserve">ediatric </w:t>
                      </w:r>
                      <w:r>
                        <w:rPr>
                          <w:rFonts w:ascii="Arial" w:hAnsi="Arial" w:cs="Arial"/>
                          <w:color w:val="578988"/>
                          <w:sz w:val="36"/>
                          <w:szCs w:val="36"/>
                        </w:rPr>
                        <w:t>V</w:t>
                      </w:r>
                      <w:r w:rsidRPr="00CC5F94">
                        <w:rPr>
                          <w:rFonts w:ascii="Arial" w:hAnsi="Arial" w:cs="Arial"/>
                          <w:color w:val="578988"/>
                          <w:sz w:val="36"/>
                          <w:szCs w:val="36"/>
                        </w:rPr>
                        <w:t xml:space="preserve">entricular </w:t>
                      </w:r>
                      <w:r>
                        <w:rPr>
                          <w:rFonts w:ascii="Arial" w:hAnsi="Arial" w:cs="Arial"/>
                          <w:color w:val="578988"/>
                          <w:sz w:val="36"/>
                          <w:szCs w:val="36"/>
                        </w:rPr>
                        <w:t>A</w:t>
                      </w:r>
                      <w:r w:rsidRPr="00CC5F94">
                        <w:rPr>
                          <w:rFonts w:ascii="Arial" w:hAnsi="Arial" w:cs="Arial"/>
                          <w:color w:val="578988"/>
                          <w:sz w:val="36"/>
                          <w:szCs w:val="36"/>
                        </w:rPr>
                        <w:t xml:space="preserve">ssist </w:t>
                      </w:r>
                      <w:r>
                        <w:rPr>
                          <w:rFonts w:ascii="Arial" w:hAnsi="Arial" w:cs="Arial"/>
                          <w:color w:val="578988"/>
                          <w:sz w:val="36"/>
                          <w:szCs w:val="36"/>
                        </w:rPr>
                        <w:t>D</w:t>
                      </w:r>
                      <w:r w:rsidRPr="00CC5F94">
                        <w:rPr>
                          <w:rFonts w:ascii="Arial" w:hAnsi="Arial" w:cs="Arial"/>
                          <w:color w:val="578988"/>
                          <w:sz w:val="36"/>
                          <w:szCs w:val="36"/>
                        </w:rPr>
                        <w:t>evices</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30FA1895" w:rsidR="009B5B8B" w:rsidRDefault="007854C7"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49B24850">
                <wp:simplePos x="0" y="0"/>
                <wp:positionH relativeFrom="page">
                  <wp:posOffset>0</wp:posOffset>
                </wp:positionH>
                <wp:positionV relativeFrom="page">
                  <wp:posOffset>1552575</wp:posOffset>
                </wp:positionV>
                <wp:extent cx="7891145" cy="2495550"/>
                <wp:effectExtent l="0" t="0" r="0" b="6350"/>
                <wp:wrapNone/>
                <wp:docPr id="2" name="Rectangle 2"/>
                <wp:cNvGraphicFramePr/>
                <a:graphic xmlns:a="http://schemas.openxmlformats.org/drawingml/2006/main">
                  <a:graphicData uri="http://schemas.microsoft.com/office/word/2010/wordprocessingShape">
                    <wps:wsp>
                      <wps:cNvSpPr/>
                      <wps:spPr>
                        <a:xfrm>
                          <a:off x="0" y="0"/>
                          <a:ext cx="7891145" cy="2495550"/>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2.25pt;width:621.35pt;height:1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&#13;&#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r w:rsidR="00890B5B">
        <w:rPr>
          <w:noProof/>
        </w:rPr>
        <mc:AlternateContent>
          <mc:Choice Requires="wps">
            <w:drawing>
              <wp:anchor distT="0" distB="0" distL="0" distR="114300" simplePos="0" relativeHeight="251660288" behindDoc="0" locked="0" layoutInCell="1" allowOverlap="1" wp14:anchorId="0FD187F4" wp14:editId="0889F1A9">
                <wp:simplePos x="0" y="0"/>
                <wp:positionH relativeFrom="page">
                  <wp:posOffset>390525</wp:posOffset>
                </wp:positionH>
                <wp:positionV relativeFrom="page">
                  <wp:posOffset>1466215</wp:posOffset>
                </wp:positionV>
                <wp:extent cx="6819265" cy="2581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819265" cy="2581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3E26AE0C" w14:textId="266BCF7C" w:rsidR="00CC5F94" w:rsidRPr="00CC5F94" w:rsidRDefault="00CC5F94" w:rsidP="00CC5F94">
                            <w:pPr>
                              <w:jc w:val="both"/>
                              <w:rPr>
                                <w:rFonts w:ascii="Arial" w:hAnsi="Arial" w:cs="Arial"/>
                                <w:color w:val="77787B"/>
                                <w:sz w:val="20"/>
                                <w:szCs w:val="20"/>
                              </w:rPr>
                            </w:pPr>
                            <w:r w:rsidRPr="00CC5F94">
                              <w:rPr>
                                <w:rFonts w:ascii="Arial" w:hAnsi="Arial" w:cs="Arial"/>
                                <w:color w:val="77787B"/>
                                <w:sz w:val="20"/>
                                <w:szCs w:val="20"/>
                              </w:rPr>
                              <w:t>Iron deficiency and anemia are extremely common comorbidities in patients with heart and/or kidney failure</w:t>
                            </w:r>
                            <w:r w:rsidR="00392C76">
                              <w:rPr>
                                <w:rFonts w:ascii="Arial" w:hAnsi="Arial" w:cs="Arial"/>
                                <w:color w:val="77787B"/>
                                <w:sz w:val="20"/>
                                <w:szCs w:val="20"/>
                              </w:rPr>
                              <w:t xml:space="preserve"> and</w:t>
                            </w:r>
                            <w:r w:rsidRPr="00CC5F94">
                              <w:rPr>
                                <w:rFonts w:ascii="Arial" w:hAnsi="Arial" w:cs="Arial"/>
                                <w:color w:val="77787B"/>
                                <w:sz w:val="20"/>
                                <w:szCs w:val="20"/>
                              </w:rPr>
                              <w:t xml:space="preserve"> inflammatory states</w:t>
                            </w:r>
                            <w:r w:rsidR="00392C76">
                              <w:rPr>
                                <w:rFonts w:ascii="Arial" w:hAnsi="Arial" w:cs="Arial"/>
                                <w:color w:val="77787B"/>
                                <w:sz w:val="20"/>
                                <w:szCs w:val="20"/>
                              </w:rPr>
                              <w:t>,</w:t>
                            </w:r>
                            <w:r w:rsidRPr="00CC5F94">
                              <w:rPr>
                                <w:rFonts w:ascii="Arial" w:hAnsi="Arial" w:cs="Arial"/>
                                <w:color w:val="77787B"/>
                                <w:sz w:val="20"/>
                                <w:szCs w:val="20"/>
                              </w:rPr>
                              <w:t xml:space="preserve"> as well as childhood growth and blood loss. These factors are common denominators in children supported with ventricular assist devices</w:t>
                            </w:r>
                            <w:r w:rsidR="00392C76">
                              <w:rPr>
                                <w:rFonts w:ascii="Arial" w:hAnsi="Arial" w:cs="Arial"/>
                                <w:color w:val="77787B"/>
                                <w:sz w:val="20"/>
                                <w:szCs w:val="20"/>
                              </w:rPr>
                              <w:t xml:space="preserve"> (VADs)</w:t>
                            </w:r>
                            <w:r w:rsidRPr="00CC5F94">
                              <w:rPr>
                                <w:rFonts w:ascii="Arial" w:hAnsi="Arial" w:cs="Arial"/>
                                <w:color w:val="77787B"/>
                                <w:sz w:val="20"/>
                                <w:szCs w:val="20"/>
                              </w:rPr>
                              <w:t>. Clinically, despite already known effects on oxygen carrying capacity, iron depletion can reduce exercise capacity and quality of life and should be treated</w:t>
                            </w:r>
                            <w:r w:rsidR="00392C76">
                              <w:rPr>
                                <w:rFonts w:ascii="Arial" w:hAnsi="Arial" w:cs="Arial"/>
                                <w:color w:val="77787B"/>
                                <w:sz w:val="20"/>
                                <w:szCs w:val="20"/>
                              </w:rPr>
                              <w:t>,</w:t>
                            </w:r>
                            <w:r w:rsidRPr="00CC5F94">
                              <w:rPr>
                                <w:rFonts w:ascii="Arial" w:hAnsi="Arial" w:cs="Arial"/>
                                <w:color w:val="77787B"/>
                                <w:sz w:val="20"/>
                                <w:szCs w:val="20"/>
                              </w:rPr>
                              <w:t xml:space="preserve"> even in absence of anemia.  Iron deficiency and anemia in hospitalized children are further affected by poor nutritional balance and blood loss. For example, frequent phlebotomy for laboratory sampling can significantly impact neonates and infants</w:t>
                            </w:r>
                            <w:r w:rsidR="00392C76">
                              <w:rPr>
                                <w:rFonts w:ascii="Arial" w:hAnsi="Arial" w:cs="Arial"/>
                                <w:color w:val="77787B"/>
                                <w:sz w:val="20"/>
                                <w:szCs w:val="20"/>
                              </w:rPr>
                              <w:t>’</w:t>
                            </w:r>
                            <w:r w:rsidRPr="00CC5F94">
                              <w:rPr>
                                <w:rFonts w:ascii="Arial" w:hAnsi="Arial" w:cs="Arial"/>
                                <w:color w:val="77787B"/>
                                <w:sz w:val="20"/>
                                <w:szCs w:val="20"/>
                              </w:rPr>
                              <w:t xml:space="preserve"> hemoglobin levels. Studies suggest that children can tolerate 0.25ml·kg</w:t>
                            </w:r>
                            <w:r w:rsidRPr="00CC5F94">
                              <w:rPr>
                                <w:rFonts w:ascii="Arial" w:hAnsi="Arial" w:cs="Arial"/>
                                <w:color w:val="77787B"/>
                                <w:sz w:val="20"/>
                                <w:szCs w:val="20"/>
                                <w:vertAlign w:val="superscript"/>
                              </w:rPr>
                              <w:t>−1</w:t>
                            </w:r>
                            <w:r w:rsidRPr="00CC5F94">
                              <w:rPr>
                                <w:rFonts w:ascii="Arial" w:hAnsi="Arial" w:cs="Arial"/>
                                <w:color w:val="77787B"/>
                                <w:sz w:val="20"/>
                                <w:szCs w:val="20"/>
                              </w:rPr>
                              <w:t>·day</w:t>
                            </w:r>
                            <w:r w:rsidRPr="00CC5F94">
                              <w:rPr>
                                <w:rFonts w:ascii="Arial" w:hAnsi="Arial" w:cs="Arial"/>
                                <w:color w:val="77787B"/>
                                <w:sz w:val="20"/>
                                <w:szCs w:val="20"/>
                                <w:vertAlign w:val="superscript"/>
                              </w:rPr>
                              <w:t xml:space="preserve">−1 </w:t>
                            </w:r>
                            <w:r w:rsidRPr="00CC5F94">
                              <w:rPr>
                                <w:rFonts w:ascii="Arial" w:hAnsi="Arial" w:cs="Arial"/>
                                <w:color w:val="77787B"/>
                                <w:sz w:val="20"/>
                                <w:szCs w:val="20"/>
                              </w:rPr>
                              <w:t xml:space="preserve">of blood sampling without a fall in hematocrit, hence sampling should be tailored to child needs balancing the net result of multiple samples and blood wasted daily. </w:t>
                            </w:r>
                          </w:p>
                          <w:p w14:paraId="6CEFDCDF" w14:textId="77777777" w:rsidR="00CC5F94" w:rsidRPr="00CC5F94" w:rsidRDefault="00CC5F94" w:rsidP="00CC5F94">
                            <w:pPr>
                              <w:jc w:val="both"/>
                              <w:rPr>
                                <w:rFonts w:ascii="Arial" w:hAnsi="Arial" w:cs="Arial"/>
                                <w:color w:val="77787B"/>
                                <w:sz w:val="20"/>
                                <w:szCs w:val="20"/>
                              </w:rPr>
                            </w:pPr>
                          </w:p>
                          <w:p w14:paraId="65CD833D" w14:textId="2093BCB0" w:rsidR="001F67B8" w:rsidRPr="00CC5F94" w:rsidRDefault="00CC5F94" w:rsidP="00CC5F94">
                            <w:pPr>
                              <w:jc w:val="both"/>
                              <w:rPr>
                                <w:rFonts w:ascii="Arial" w:hAnsi="Arial" w:cs="Arial"/>
                                <w:color w:val="77787B"/>
                                <w:sz w:val="20"/>
                                <w:szCs w:val="20"/>
                              </w:rPr>
                            </w:pPr>
                            <w:r w:rsidRPr="00CC5F94">
                              <w:rPr>
                                <w:rFonts w:ascii="Arial" w:hAnsi="Arial" w:cs="Arial"/>
                                <w:color w:val="77787B"/>
                                <w:sz w:val="20"/>
                                <w:szCs w:val="20"/>
                              </w:rPr>
                              <w:t xml:space="preserve">Transfusion thresholds and the impact of excessive blood transfusions are becoming a more frequent topic of debate. Data is lacking on optimal transfusion thresholds, as are strategies for blood sparing in children with </w:t>
                            </w:r>
                            <w:r w:rsidR="00392C76">
                              <w:rPr>
                                <w:rFonts w:ascii="Arial" w:hAnsi="Arial" w:cs="Arial"/>
                                <w:color w:val="77787B"/>
                                <w:sz w:val="20"/>
                                <w:szCs w:val="20"/>
                              </w:rPr>
                              <w:t>VADs</w:t>
                            </w:r>
                            <w:r w:rsidRPr="00CC5F94">
                              <w:rPr>
                                <w:rFonts w:ascii="Arial" w:hAnsi="Arial" w:cs="Arial"/>
                                <w:color w:val="77787B"/>
                                <w:sz w:val="20"/>
                                <w:szCs w:val="20"/>
                              </w:rPr>
                              <w:t>, where viscosity and shear stress can affect pump function and risk of thrombosis. Patient blood management programs and early establishment of transfusion thresholds, although well recognized and appreciated in the adult setting, are yet to become a standard of care in the pediatric patient population.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187F4" id="_x0000_t202" coordsize="21600,21600" o:spt="202" path="m,l,21600r21600,l21600,xe">
                <v:stroke joinstyle="miter"/>
                <v:path gradientshapeok="t" o:connecttype="rect"/>
              </v:shapetype>
              <v:shape id="Text Box 3" o:spid="_x0000_s1028" type="#_x0000_t202" style="position:absolute;margin-left:30.75pt;margin-top:115.45pt;width:536.95pt;height:203.25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&#13;&#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3E26AE0C" w14:textId="266BCF7C" w:rsidR="00CC5F94" w:rsidRPr="00CC5F94" w:rsidRDefault="00CC5F94" w:rsidP="00CC5F94">
                      <w:pPr>
                        <w:jc w:val="both"/>
                        <w:rPr>
                          <w:rFonts w:ascii="Arial" w:hAnsi="Arial" w:cs="Arial"/>
                          <w:color w:val="77787B"/>
                          <w:sz w:val="20"/>
                          <w:szCs w:val="20"/>
                        </w:rPr>
                      </w:pPr>
                      <w:r w:rsidRPr="00CC5F94">
                        <w:rPr>
                          <w:rFonts w:ascii="Arial" w:hAnsi="Arial" w:cs="Arial"/>
                          <w:color w:val="77787B"/>
                          <w:sz w:val="20"/>
                          <w:szCs w:val="20"/>
                        </w:rPr>
                        <w:t>Iron deficiency and anemia are extremely common comorbidities in patients with heart and/or kidney failure</w:t>
                      </w:r>
                      <w:r w:rsidR="00392C76">
                        <w:rPr>
                          <w:rFonts w:ascii="Arial" w:hAnsi="Arial" w:cs="Arial"/>
                          <w:color w:val="77787B"/>
                          <w:sz w:val="20"/>
                          <w:szCs w:val="20"/>
                        </w:rPr>
                        <w:t xml:space="preserve"> and</w:t>
                      </w:r>
                      <w:r w:rsidRPr="00CC5F94">
                        <w:rPr>
                          <w:rFonts w:ascii="Arial" w:hAnsi="Arial" w:cs="Arial"/>
                          <w:color w:val="77787B"/>
                          <w:sz w:val="20"/>
                          <w:szCs w:val="20"/>
                        </w:rPr>
                        <w:t xml:space="preserve"> inflammatory states</w:t>
                      </w:r>
                      <w:r w:rsidR="00392C76">
                        <w:rPr>
                          <w:rFonts w:ascii="Arial" w:hAnsi="Arial" w:cs="Arial"/>
                          <w:color w:val="77787B"/>
                          <w:sz w:val="20"/>
                          <w:szCs w:val="20"/>
                        </w:rPr>
                        <w:t>,</w:t>
                      </w:r>
                      <w:r w:rsidRPr="00CC5F94">
                        <w:rPr>
                          <w:rFonts w:ascii="Arial" w:hAnsi="Arial" w:cs="Arial"/>
                          <w:color w:val="77787B"/>
                          <w:sz w:val="20"/>
                          <w:szCs w:val="20"/>
                        </w:rPr>
                        <w:t xml:space="preserve"> as well as childhood growth and blood loss. These factors are common denominators in children supported with ventricular assist devices</w:t>
                      </w:r>
                      <w:r w:rsidR="00392C76">
                        <w:rPr>
                          <w:rFonts w:ascii="Arial" w:hAnsi="Arial" w:cs="Arial"/>
                          <w:color w:val="77787B"/>
                          <w:sz w:val="20"/>
                          <w:szCs w:val="20"/>
                        </w:rPr>
                        <w:t xml:space="preserve"> (VADs)</w:t>
                      </w:r>
                      <w:r w:rsidRPr="00CC5F94">
                        <w:rPr>
                          <w:rFonts w:ascii="Arial" w:hAnsi="Arial" w:cs="Arial"/>
                          <w:color w:val="77787B"/>
                          <w:sz w:val="20"/>
                          <w:szCs w:val="20"/>
                        </w:rPr>
                        <w:t>. Clinically, despite already known effects on oxygen carrying capacity, iron depletion can reduce exercise capacity and quality of life and should be treated</w:t>
                      </w:r>
                      <w:r w:rsidR="00392C76">
                        <w:rPr>
                          <w:rFonts w:ascii="Arial" w:hAnsi="Arial" w:cs="Arial"/>
                          <w:color w:val="77787B"/>
                          <w:sz w:val="20"/>
                          <w:szCs w:val="20"/>
                        </w:rPr>
                        <w:t>,</w:t>
                      </w:r>
                      <w:r w:rsidRPr="00CC5F94">
                        <w:rPr>
                          <w:rFonts w:ascii="Arial" w:hAnsi="Arial" w:cs="Arial"/>
                          <w:color w:val="77787B"/>
                          <w:sz w:val="20"/>
                          <w:szCs w:val="20"/>
                        </w:rPr>
                        <w:t xml:space="preserve"> even in absence of anemia.  Iron deficiency and anemia in hospitalized children are further affected by poor nutritional balance and blood loss. For example, frequent phlebotomy for laboratory sampling can significantly impact neonates and infants</w:t>
                      </w:r>
                      <w:r w:rsidR="00392C76">
                        <w:rPr>
                          <w:rFonts w:ascii="Arial" w:hAnsi="Arial" w:cs="Arial"/>
                          <w:color w:val="77787B"/>
                          <w:sz w:val="20"/>
                          <w:szCs w:val="20"/>
                        </w:rPr>
                        <w:t>’</w:t>
                      </w:r>
                      <w:r w:rsidRPr="00CC5F94">
                        <w:rPr>
                          <w:rFonts w:ascii="Arial" w:hAnsi="Arial" w:cs="Arial"/>
                          <w:color w:val="77787B"/>
                          <w:sz w:val="20"/>
                          <w:szCs w:val="20"/>
                        </w:rPr>
                        <w:t xml:space="preserve"> hemoglobin levels. Studies suggest that children can tolerate 0.25ml·kg</w:t>
                      </w:r>
                      <w:r w:rsidRPr="00CC5F94">
                        <w:rPr>
                          <w:rFonts w:ascii="Arial" w:hAnsi="Arial" w:cs="Arial"/>
                          <w:color w:val="77787B"/>
                          <w:sz w:val="20"/>
                          <w:szCs w:val="20"/>
                          <w:vertAlign w:val="superscript"/>
                        </w:rPr>
                        <w:t>−1</w:t>
                      </w:r>
                      <w:r w:rsidRPr="00CC5F94">
                        <w:rPr>
                          <w:rFonts w:ascii="Arial" w:hAnsi="Arial" w:cs="Arial"/>
                          <w:color w:val="77787B"/>
                          <w:sz w:val="20"/>
                          <w:szCs w:val="20"/>
                        </w:rPr>
                        <w:t>·day</w:t>
                      </w:r>
                      <w:r w:rsidRPr="00CC5F94">
                        <w:rPr>
                          <w:rFonts w:ascii="Arial" w:hAnsi="Arial" w:cs="Arial"/>
                          <w:color w:val="77787B"/>
                          <w:sz w:val="20"/>
                          <w:szCs w:val="20"/>
                          <w:vertAlign w:val="superscript"/>
                        </w:rPr>
                        <w:t xml:space="preserve">−1 </w:t>
                      </w:r>
                      <w:r w:rsidRPr="00CC5F94">
                        <w:rPr>
                          <w:rFonts w:ascii="Arial" w:hAnsi="Arial" w:cs="Arial"/>
                          <w:color w:val="77787B"/>
                          <w:sz w:val="20"/>
                          <w:szCs w:val="20"/>
                        </w:rPr>
                        <w:t xml:space="preserve">of blood sampling without a fall in hematocrit, hence sampling should be tailored to child needs balancing the net result of multiple samples and blood wasted daily. </w:t>
                      </w:r>
                    </w:p>
                    <w:p w14:paraId="6CEFDCDF" w14:textId="77777777" w:rsidR="00CC5F94" w:rsidRPr="00CC5F94" w:rsidRDefault="00CC5F94" w:rsidP="00CC5F94">
                      <w:pPr>
                        <w:jc w:val="both"/>
                        <w:rPr>
                          <w:rFonts w:ascii="Arial" w:hAnsi="Arial" w:cs="Arial"/>
                          <w:color w:val="77787B"/>
                          <w:sz w:val="20"/>
                          <w:szCs w:val="20"/>
                        </w:rPr>
                      </w:pPr>
                    </w:p>
                    <w:p w14:paraId="65CD833D" w14:textId="2093BCB0" w:rsidR="001F67B8" w:rsidRPr="00CC5F94" w:rsidRDefault="00CC5F94" w:rsidP="00CC5F94">
                      <w:pPr>
                        <w:jc w:val="both"/>
                        <w:rPr>
                          <w:rFonts w:ascii="Arial" w:hAnsi="Arial" w:cs="Arial"/>
                          <w:color w:val="77787B"/>
                          <w:sz w:val="20"/>
                          <w:szCs w:val="20"/>
                        </w:rPr>
                      </w:pPr>
                      <w:r w:rsidRPr="00CC5F94">
                        <w:rPr>
                          <w:rFonts w:ascii="Arial" w:hAnsi="Arial" w:cs="Arial"/>
                          <w:color w:val="77787B"/>
                          <w:sz w:val="20"/>
                          <w:szCs w:val="20"/>
                        </w:rPr>
                        <w:t xml:space="preserve">Transfusion thresholds and the impact of excessive blood transfusions are becoming a more frequent topic of debate. Data is lacking on optimal transfusion thresholds, as are strategies for blood sparing in children with </w:t>
                      </w:r>
                      <w:r w:rsidR="00392C76">
                        <w:rPr>
                          <w:rFonts w:ascii="Arial" w:hAnsi="Arial" w:cs="Arial"/>
                          <w:color w:val="77787B"/>
                          <w:sz w:val="20"/>
                          <w:szCs w:val="20"/>
                        </w:rPr>
                        <w:t>VADs</w:t>
                      </w:r>
                      <w:r w:rsidRPr="00CC5F94">
                        <w:rPr>
                          <w:rFonts w:ascii="Arial" w:hAnsi="Arial" w:cs="Arial"/>
                          <w:color w:val="77787B"/>
                          <w:sz w:val="20"/>
                          <w:szCs w:val="20"/>
                        </w:rPr>
                        <w:t>, where viscosity and shear stress can affect pump function and risk of thrombosis. Patient blood management programs and early establishment of transfusion thresholds, although well recognized and appreciated in the adult setting, are yet to become a standard of care in the pediatric patient population. </w:t>
                      </w:r>
                    </w:p>
                  </w:txbxContent>
                </v:textbox>
                <w10:wrap anchorx="page" anchory="page"/>
              </v:shape>
            </w:pict>
          </mc:Fallback>
        </mc:AlternateContent>
      </w:r>
    </w:p>
    <w:p w14:paraId="1DF44805" w14:textId="177803C0" w:rsidR="00B857C5" w:rsidRDefault="00B857C5" w:rsidP="007575DC">
      <w:pPr>
        <w:spacing w:line="240" w:lineRule="exact"/>
        <w:rPr>
          <w:rFonts w:ascii="Arial" w:hAnsi="Arial" w:cs="Arial"/>
          <w:b/>
          <w:color w:val="578988"/>
          <w:spacing w:val="20"/>
          <w:sz w:val="18"/>
          <w:szCs w:val="18"/>
        </w:rPr>
      </w:pP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40C162D3"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0A877032" w14:textId="77777777" w:rsidR="00CC5F94" w:rsidRDefault="00CC5F94" w:rsidP="007575DC">
      <w:pPr>
        <w:spacing w:line="240" w:lineRule="exact"/>
        <w:rPr>
          <w:rFonts w:ascii="Arial" w:hAnsi="Arial" w:cs="Arial"/>
          <w:b/>
          <w:color w:val="578988"/>
          <w:spacing w:val="20"/>
          <w:sz w:val="20"/>
          <w:szCs w:val="20"/>
        </w:rPr>
      </w:pPr>
    </w:p>
    <w:p w14:paraId="412D14BE" w14:textId="77777777" w:rsidR="00CC5F94" w:rsidRDefault="00CC5F94" w:rsidP="007575DC">
      <w:pPr>
        <w:spacing w:line="240" w:lineRule="exact"/>
        <w:rPr>
          <w:rFonts w:ascii="Arial" w:hAnsi="Arial" w:cs="Arial"/>
          <w:b/>
          <w:color w:val="578988"/>
          <w:spacing w:val="20"/>
          <w:sz w:val="20"/>
          <w:szCs w:val="20"/>
        </w:rPr>
      </w:pPr>
    </w:p>
    <w:p w14:paraId="7D87F6CE" w14:textId="77777777" w:rsidR="00CC5F94" w:rsidRDefault="00CC5F94" w:rsidP="007575DC">
      <w:pPr>
        <w:spacing w:line="240" w:lineRule="exact"/>
        <w:rPr>
          <w:rFonts w:ascii="Arial" w:hAnsi="Arial" w:cs="Arial"/>
          <w:b/>
          <w:color w:val="578988"/>
          <w:spacing w:val="20"/>
          <w:sz w:val="20"/>
          <w:szCs w:val="20"/>
        </w:rPr>
      </w:pPr>
    </w:p>
    <w:p w14:paraId="3196A4AF" w14:textId="77777777" w:rsidR="00CC5F94" w:rsidRDefault="00CC5F94" w:rsidP="007575DC">
      <w:pPr>
        <w:spacing w:line="240" w:lineRule="exact"/>
        <w:rPr>
          <w:rFonts w:ascii="Arial" w:hAnsi="Arial" w:cs="Arial"/>
          <w:b/>
          <w:color w:val="578988"/>
          <w:spacing w:val="20"/>
          <w:sz w:val="20"/>
          <w:szCs w:val="20"/>
        </w:rPr>
      </w:pPr>
    </w:p>
    <w:p w14:paraId="436ACDFF" w14:textId="77777777" w:rsidR="00CC5F94" w:rsidRDefault="00CC5F94" w:rsidP="007575DC">
      <w:pPr>
        <w:spacing w:line="240" w:lineRule="exact"/>
        <w:rPr>
          <w:rFonts w:ascii="Arial" w:hAnsi="Arial" w:cs="Arial"/>
          <w:b/>
          <w:color w:val="578988"/>
          <w:spacing w:val="20"/>
          <w:sz w:val="20"/>
          <w:szCs w:val="20"/>
        </w:rPr>
      </w:pPr>
    </w:p>
    <w:p w14:paraId="4B87E745" w14:textId="77777777" w:rsidR="00CC5F94" w:rsidRDefault="00CC5F94" w:rsidP="007575DC">
      <w:pPr>
        <w:spacing w:line="240" w:lineRule="exact"/>
        <w:rPr>
          <w:rFonts w:ascii="Arial" w:hAnsi="Arial" w:cs="Arial"/>
          <w:b/>
          <w:color w:val="578988"/>
          <w:spacing w:val="20"/>
          <w:sz w:val="20"/>
          <w:szCs w:val="20"/>
        </w:rPr>
      </w:pPr>
    </w:p>
    <w:p w14:paraId="5F37EDBF" w14:textId="77777777" w:rsidR="00CC5F94" w:rsidRDefault="00CC5F94" w:rsidP="007575DC">
      <w:pPr>
        <w:spacing w:line="240" w:lineRule="exact"/>
        <w:rPr>
          <w:rFonts w:ascii="Arial" w:hAnsi="Arial" w:cs="Arial"/>
          <w:b/>
          <w:color w:val="578988"/>
          <w:spacing w:val="20"/>
          <w:sz w:val="20"/>
          <w:szCs w:val="20"/>
        </w:rPr>
      </w:pPr>
    </w:p>
    <w:p w14:paraId="02ADB959" w14:textId="77777777" w:rsidR="00CC5F94" w:rsidRDefault="00CC5F94" w:rsidP="007575DC">
      <w:pPr>
        <w:spacing w:line="240" w:lineRule="exact"/>
        <w:rPr>
          <w:rFonts w:ascii="Arial" w:hAnsi="Arial" w:cs="Arial"/>
          <w:b/>
          <w:color w:val="578988"/>
          <w:spacing w:val="20"/>
          <w:sz w:val="20"/>
          <w:szCs w:val="20"/>
        </w:rPr>
      </w:pPr>
    </w:p>
    <w:p w14:paraId="30B92163" w14:textId="77777777" w:rsidR="007854C7" w:rsidRDefault="007854C7" w:rsidP="007575DC">
      <w:pPr>
        <w:spacing w:line="240" w:lineRule="exact"/>
        <w:rPr>
          <w:rFonts w:ascii="Arial" w:hAnsi="Arial" w:cs="Arial"/>
          <w:b/>
          <w:color w:val="578988"/>
          <w:spacing w:val="20"/>
          <w:sz w:val="20"/>
          <w:szCs w:val="20"/>
        </w:rPr>
      </w:pPr>
    </w:p>
    <w:p w14:paraId="48B4C51D" w14:textId="058DEC91"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1C1763">
        <w:rPr>
          <w:rFonts w:ascii="Arial" w:hAnsi="Arial" w:cs="Arial"/>
          <w:color w:val="6C6C6C"/>
          <w:sz w:val="20"/>
          <w:szCs w:val="20"/>
        </w:rPr>
        <w:t xml:space="preserve">10/28/24 </w:t>
      </w:r>
    </w:p>
    <w:p w14:paraId="65D328D9" w14:textId="77777777" w:rsidR="008D2C90" w:rsidRDefault="008D2C90" w:rsidP="007575DC">
      <w:pPr>
        <w:spacing w:line="240" w:lineRule="exact"/>
        <w:rPr>
          <w:rFonts w:ascii="Arial" w:hAnsi="Arial" w:cs="Arial"/>
          <w:b/>
          <w:color w:val="578988"/>
          <w:spacing w:val="20"/>
          <w:sz w:val="20"/>
          <w:szCs w:val="20"/>
        </w:rPr>
      </w:pPr>
    </w:p>
    <w:p w14:paraId="4ED7227D" w14:textId="08BFFF60"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3378F087" w14:textId="4724B9A5" w:rsidR="00FB32D1" w:rsidRDefault="00BF25B6" w:rsidP="007575DC">
      <w:pPr>
        <w:spacing w:line="240" w:lineRule="exact"/>
        <w:rPr>
          <w:rFonts w:ascii="Arial" w:hAnsi="Arial" w:cs="Arial"/>
          <w:color w:val="6C6C6C"/>
          <w:sz w:val="20"/>
          <w:szCs w:val="20"/>
        </w:rPr>
      </w:pPr>
      <w:r w:rsidRPr="00BF25B6">
        <w:rPr>
          <w:rFonts w:ascii="Arial" w:hAnsi="Arial" w:cs="Arial"/>
          <w:color w:val="6C6C6C"/>
          <w:sz w:val="20"/>
          <w:szCs w:val="20"/>
        </w:rPr>
        <w:t xml:space="preserve">To review strategies for minimizing blood loss, while optimizing transfusion thresholds in pediatric patients supported with VADs in a </w:t>
      </w:r>
      <w:r w:rsidR="001C1763" w:rsidRPr="00BF25B6">
        <w:rPr>
          <w:rFonts w:ascii="Arial" w:hAnsi="Arial" w:cs="Arial"/>
          <w:color w:val="6C6C6C"/>
          <w:sz w:val="20"/>
          <w:szCs w:val="20"/>
        </w:rPr>
        <w:t>broad</w:t>
      </w:r>
      <w:r w:rsidR="001C1763">
        <w:rPr>
          <w:rFonts w:ascii="Arial" w:hAnsi="Arial" w:cs="Arial"/>
          <w:color w:val="6C6C6C"/>
          <w:sz w:val="20"/>
          <w:szCs w:val="20"/>
        </w:rPr>
        <w:t>,</w:t>
      </w:r>
      <w:r w:rsidR="001C1763" w:rsidRPr="00BF25B6">
        <w:rPr>
          <w:rFonts w:ascii="Arial" w:hAnsi="Arial" w:cs="Arial"/>
          <w:color w:val="6C6C6C"/>
          <w:sz w:val="20"/>
          <w:szCs w:val="20"/>
        </w:rPr>
        <w:t xml:space="preserve"> yet</w:t>
      </w:r>
      <w:r w:rsidRPr="00BF25B6">
        <w:rPr>
          <w:rFonts w:ascii="Arial" w:hAnsi="Arial" w:cs="Arial"/>
          <w:color w:val="6C6C6C"/>
          <w:sz w:val="20"/>
          <w:szCs w:val="20"/>
        </w:rPr>
        <w:t xml:space="preserve"> individualized approach.</w:t>
      </w:r>
    </w:p>
    <w:p w14:paraId="52FD8B4E" w14:textId="77777777" w:rsidR="00B17807" w:rsidRPr="00F25D13" w:rsidRDefault="00B17807" w:rsidP="007575DC">
      <w:pPr>
        <w:spacing w:line="240" w:lineRule="exact"/>
        <w:rPr>
          <w:rFonts w:ascii="Arial" w:hAnsi="Arial" w:cs="Arial"/>
          <w:color w:val="6C6C6C"/>
          <w:sz w:val="20"/>
          <w:szCs w:val="20"/>
        </w:rPr>
      </w:pPr>
    </w:p>
    <w:p w14:paraId="59B66EB3" w14:textId="68E6D78D" w:rsidR="00192198" w:rsidRPr="00BF25B6" w:rsidRDefault="009B1CA4" w:rsidP="00B17807">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5E31EFDD" w14:textId="77777777" w:rsidR="00BF25B6" w:rsidRDefault="00BF25B6" w:rsidP="00BF25B6">
      <w:pPr>
        <w:jc w:val="both"/>
        <w:rPr>
          <w:rFonts w:ascii="Arial" w:hAnsi="Arial" w:cs="Arial"/>
          <w:b/>
          <w:color w:val="578988"/>
          <w:spacing w:val="20"/>
          <w:sz w:val="20"/>
          <w:szCs w:val="20"/>
        </w:rPr>
      </w:pPr>
    </w:p>
    <w:p w14:paraId="24E8A7F9" w14:textId="3280AD3E" w:rsidR="00BF25B6" w:rsidRPr="00BF25B6" w:rsidRDefault="00BF25B6" w:rsidP="00BF25B6">
      <w:pPr>
        <w:jc w:val="both"/>
        <w:rPr>
          <w:rFonts w:ascii="Arial" w:hAnsi="Arial" w:cs="Arial"/>
          <w:b/>
          <w:color w:val="578988"/>
          <w:spacing w:val="20"/>
          <w:sz w:val="20"/>
          <w:szCs w:val="20"/>
        </w:rPr>
      </w:pPr>
      <w:r>
        <w:rPr>
          <w:rFonts w:ascii="Arial" w:hAnsi="Arial" w:cs="Arial"/>
          <w:b/>
          <w:color w:val="578988"/>
          <w:spacing w:val="20"/>
          <w:sz w:val="20"/>
          <w:szCs w:val="20"/>
        </w:rPr>
        <w:t xml:space="preserve">1. </w:t>
      </w:r>
      <w:r w:rsidRPr="00BF25B6">
        <w:rPr>
          <w:rFonts w:ascii="Arial" w:hAnsi="Arial" w:cs="Arial"/>
          <w:b/>
          <w:color w:val="578988"/>
          <w:spacing w:val="20"/>
          <w:sz w:val="20"/>
          <w:szCs w:val="20"/>
        </w:rPr>
        <w:t>Establish lower thresholds for transfusion</w:t>
      </w:r>
      <w:r w:rsidR="00B97A72">
        <w:rPr>
          <w:rFonts w:ascii="Arial" w:hAnsi="Arial" w:cs="Arial"/>
          <w:b/>
          <w:color w:val="578988"/>
          <w:spacing w:val="20"/>
          <w:sz w:val="20"/>
          <w:szCs w:val="20"/>
        </w:rPr>
        <w:t xml:space="preserve"> </w:t>
      </w:r>
      <w:r w:rsidRPr="00B97A72">
        <w:rPr>
          <w:rFonts w:ascii="Arial" w:hAnsi="Arial" w:cs="Arial"/>
          <w:color w:val="77787B"/>
          <w:sz w:val="20"/>
          <w:szCs w:val="20"/>
        </w:rPr>
        <w:t>(first 1-2 weeks post implant):</w:t>
      </w:r>
    </w:p>
    <w:p w14:paraId="0C80B335" w14:textId="77777777" w:rsidR="00BF25B6" w:rsidRPr="00B97A72" w:rsidRDefault="00BF25B6" w:rsidP="00C83DDD">
      <w:pPr>
        <w:pStyle w:val="ListParagraph"/>
        <w:ind w:left="540"/>
        <w:jc w:val="both"/>
        <w:rPr>
          <w:rFonts w:ascii="Arial" w:hAnsi="Arial" w:cs="Arial"/>
          <w:color w:val="77787B"/>
          <w:sz w:val="20"/>
          <w:szCs w:val="20"/>
        </w:rPr>
      </w:pPr>
      <w:r w:rsidRPr="00B97A72">
        <w:rPr>
          <w:rFonts w:ascii="Arial" w:hAnsi="Arial" w:cs="Arial"/>
          <w:color w:val="77787B"/>
          <w:sz w:val="20"/>
          <w:szCs w:val="20"/>
        </w:rPr>
        <w:t xml:space="preserve">If patients’ clinical markers of oxygen delivery and extraction are preserved in the context of adequate hemostasis, hematocrit is targeted based on patients’ individual needs, using laboratory and clinical context such as: mixed venous saturation with an appropriate extraction ratio obtained  from an upper extremity central venous line (if feasible), near-infrared spectroscopy (NIRS), arterial saturation and oxygen requirements, adequate end-organ function, or signs of exacerbated heart failure. </w:t>
      </w:r>
    </w:p>
    <w:p w14:paraId="4067B120" w14:textId="77777777" w:rsidR="00BF25B6" w:rsidRPr="00B97A72" w:rsidRDefault="00BF25B6" w:rsidP="00BF25B6">
      <w:pPr>
        <w:pStyle w:val="ListParagraph"/>
        <w:numPr>
          <w:ilvl w:val="0"/>
          <w:numId w:val="29"/>
        </w:numPr>
        <w:jc w:val="both"/>
        <w:rPr>
          <w:rFonts w:ascii="Arial" w:hAnsi="Arial" w:cs="Arial"/>
          <w:color w:val="77787B"/>
          <w:sz w:val="20"/>
          <w:szCs w:val="20"/>
        </w:rPr>
      </w:pPr>
      <w:r w:rsidRPr="00B97A72">
        <w:rPr>
          <w:rFonts w:ascii="Arial" w:hAnsi="Arial" w:cs="Arial"/>
          <w:color w:val="77787B"/>
          <w:sz w:val="20"/>
          <w:szCs w:val="20"/>
        </w:rPr>
        <w:t>Biventricular physiology: Hematocrit of 25 or greater (suggested)</w:t>
      </w:r>
    </w:p>
    <w:p w14:paraId="6502ED4B" w14:textId="77777777" w:rsidR="00BF25B6" w:rsidRPr="00B97A72" w:rsidRDefault="00BF25B6" w:rsidP="00BF25B6">
      <w:pPr>
        <w:pStyle w:val="ListParagraph"/>
        <w:numPr>
          <w:ilvl w:val="0"/>
          <w:numId w:val="29"/>
        </w:numPr>
        <w:jc w:val="both"/>
        <w:rPr>
          <w:rFonts w:ascii="Arial" w:hAnsi="Arial" w:cs="Arial"/>
          <w:color w:val="77787B"/>
          <w:sz w:val="20"/>
          <w:szCs w:val="20"/>
        </w:rPr>
      </w:pPr>
      <w:r w:rsidRPr="00B97A72">
        <w:rPr>
          <w:rFonts w:ascii="Arial" w:hAnsi="Arial" w:cs="Arial"/>
          <w:color w:val="77787B"/>
          <w:sz w:val="20"/>
          <w:szCs w:val="20"/>
        </w:rPr>
        <w:t>Univentricular physiology: Hematocrit of 30 or greater (suggested)</w:t>
      </w:r>
    </w:p>
    <w:p w14:paraId="3C5639D4" w14:textId="77777777" w:rsidR="00BF25B6" w:rsidRPr="00B97A72" w:rsidRDefault="00BF25B6" w:rsidP="00BF25B6">
      <w:pPr>
        <w:pStyle w:val="ListParagraph"/>
        <w:numPr>
          <w:ilvl w:val="0"/>
          <w:numId w:val="29"/>
        </w:numPr>
        <w:jc w:val="both"/>
        <w:rPr>
          <w:rFonts w:ascii="Arial" w:hAnsi="Arial" w:cs="Arial"/>
          <w:color w:val="77787B"/>
          <w:sz w:val="20"/>
          <w:szCs w:val="20"/>
        </w:rPr>
      </w:pPr>
      <w:r w:rsidRPr="00B97A72">
        <w:rPr>
          <w:rFonts w:ascii="Arial" w:hAnsi="Arial" w:cs="Arial"/>
          <w:color w:val="77787B"/>
          <w:sz w:val="20"/>
          <w:szCs w:val="20"/>
        </w:rPr>
        <w:t>Multidisciplinary approach to establish transfusion thresholds for other blood products in the context of individual needs and according to hemostasis management algorithm used.</w:t>
      </w:r>
    </w:p>
    <w:p w14:paraId="52F53CDA" w14:textId="77777777" w:rsidR="00BF25B6" w:rsidRPr="00FD7D74" w:rsidRDefault="00BF25B6" w:rsidP="00BF25B6">
      <w:pPr>
        <w:pStyle w:val="ListParagraph"/>
        <w:ind w:left="1440"/>
        <w:jc w:val="both"/>
        <w:rPr>
          <w:rFonts w:cstheme="minorHAnsi"/>
        </w:rPr>
      </w:pPr>
    </w:p>
    <w:p w14:paraId="252C51EF" w14:textId="04686074" w:rsidR="00BF25B6" w:rsidRPr="00B97A72" w:rsidRDefault="00B97A72" w:rsidP="00B97A72">
      <w:pPr>
        <w:jc w:val="both"/>
        <w:rPr>
          <w:rFonts w:ascii="Arial" w:hAnsi="Arial" w:cs="Arial"/>
          <w:color w:val="77787B"/>
          <w:sz w:val="20"/>
          <w:szCs w:val="20"/>
          <w:u w:val="single"/>
        </w:rPr>
      </w:pPr>
      <w:r>
        <w:rPr>
          <w:rFonts w:ascii="Arial" w:hAnsi="Arial" w:cs="Arial"/>
          <w:b/>
          <w:color w:val="578988"/>
          <w:spacing w:val="20"/>
          <w:sz w:val="20"/>
          <w:szCs w:val="20"/>
        </w:rPr>
        <w:t xml:space="preserve">2. </w:t>
      </w:r>
      <w:r w:rsidR="00BF25B6" w:rsidRPr="00B97A72">
        <w:rPr>
          <w:rFonts w:ascii="Arial" w:hAnsi="Arial" w:cs="Arial"/>
          <w:b/>
          <w:color w:val="578988"/>
          <w:spacing w:val="20"/>
          <w:sz w:val="20"/>
          <w:szCs w:val="20"/>
        </w:rPr>
        <w:t>Micro-nutrient supplementation</w:t>
      </w:r>
      <w:r>
        <w:rPr>
          <w:rFonts w:ascii="Arial" w:hAnsi="Arial" w:cs="Arial"/>
          <w:b/>
          <w:color w:val="578988"/>
          <w:spacing w:val="20"/>
          <w:sz w:val="20"/>
          <w:szCs w:val="20"/>
        </w:rPr>
        <w:t xml:space="preserve"> </w:t>
      </w:r>
      <w:r w:rsidR="00BF25B6" w:rsidRPr="00B97A72">
        <w:rPr>
          <w:rFonts w:ascii="Arial" w:hAnsi="Arial" w:cs="Arial"/>
          <w:color w:val="77787B"/>
          <w:sz w:val="20"/>
          <w:szCs w:val="20"/>
        </w:rPr>
        <w:t>(1-2 weeks post implant, if not yet initiated):</w:t>
      </w:r>
    </w:p>
    <w:p w14:paraId="30501664" w14:textId="2DEDF775" w:rsidR="00BF25B6" w:rsidRPr="00B97A72" w:rsidRDefault="00BF25B6" w:rsidP="00BF25B6">
      <w:pPr>
        <w:pStyle w:val="ListParagraph"/>
        <w:numPr>
          <w:ilvl w:val="1"/>
          <w:numId w:val="28"/>
        </w:numPr>
        <w:jc w:val="both"/>
        <w:rPr>
          <w:rFonts w:ascii="Arial" w:hAnsi="Arial" w:cs="Arial"/>
          <w:color w:val="77787B"/>
          <w:sz w:val="20"/>
          <w:szCs w:val="20"/>
        </w:rPr>
      </w:pPr>
      <w:r w:rsidRPr="00B97A72">
        <w:rPr>
          <w:rFonts w:ascii="Arial" w:hAnsi="Arial" w:cs="Arial"/>
          <w:color w:val="77787B"/>
          <w:sz w:val="20"/>
          <w:szCs w:val="20"/>
        </w:rPr>
        <w:t>Iron, reticulocytes</w:t>
      </w:r>
      <w:r w:rsidR="00392C76">
        <w:rPr>
          <w:rFonts w:ascii="Arial" w:hAnsi="Arial" w:cs="Arial"/>
          <w:color w:val="77787B"/>
          <w:sz w:val="20"/>
          <w:szCs w:val="20"/>
        </w:rPr>
        <w:t>,</w:t>
      </w:r>
      <w:r w:rsidRPr="00B97A72">
        <w:rPr>
          <w:rFonts w:ascii="Arial" w:hAnsi="Arial" w:cs="Arial"/>
          <w:color w:val="77787B"/>
          <w:sz w:val="20"/>
          <w:szCs w:val="20"/>
        </w:rPr>
        <w:t xml:space="preserve"> and hemoglobin studies: </w:t>
      </w:r>
    </w:p>
    <w:p w14:paraId="0B77C8A2" w14:textId="00CB0CDF" w:rsidR="00BF25B6" w:rsidRPr="00B97A72" w:rsidRDefault="00BF25B6" w:rsidP="00BF25B6">
      <w:pPr>
        <w:pStyle w:val="ListParagraph"/>
        <w:numPr>
          <w:ilvl w:val="2"/>
          <w:numId w:val="28"/>
        </w:numPr>
        <w:jc w:val="both"/>
        <w:rPr>
          <w:rFonts w:ascii="Arial" w:hAnsi="Arial" w:cs="Arial"/>
          <w:color w:val="77787B"/>
          <w:sz w:val="20"/>
          <w:szCs w:val="20"/>
        </w:rPr>
      </w:pPr>
      <w:r w:rsidRPr="00B97A72">
        <w:rPr>
          <w:rFonts w:ascii="Arial" w:hAnsi="Arial" w:cs="Arial"/>
          <w:color w:val="77787B"/>
          <w:sz w:val="20"/>
          <w:szCs w:val="20"/>
        </w:rPr>
        <w:t xml:space="preserve">If iron </w:t>
      </w:r>
      <w:r w:rsidR="00392C76" w:rsidRPr="00B97A72">
        <w:rPr>
          <w:rFonts w:ascii="Arial" w:hAnsi="Arial" w:cs="Arial"/>
          <w:color w:val="77787B"/>
          <w:sz w:val="20"/>
          <w:szCs w:val="20"/>
        </w:rPr>
        <w:t>stor</w:t>
      </w:r>
      <w:r w:rsidR="00392C76">
        <w:rPr>
          <w:rFonts w:ascii="Arial" w:hAnsi="Arial" w:cs="Arial"/>
          <w:color w:val="77787B"/>
          <w:sz w:val="20"/>
          <w:szCs w:val="20"/>
        </w:rPr>
        <w:t>es are</w:t>
      </w:r>
      <w:r w:rsidR="00392C76" w:rsidRPr="00B97A72">
        <w:rPr>
          <w:rFonts w:ascii="Arial" w:hAnsi="Arial" w:cs="Arial"/>
          <w:color w:val="77787B"/>
          <w:sz w:val="20"/>
          <w:szCs w:val="20"/>
        </w:rPr>
        <w:t xml:space="preserve"> </w:t>
      </w:r>
      <w:r w:rsidRPr="00B97A72">
        <w:rPr>
          <w:rFonts w:ascii="Arial" w:hAnsi="Arial" w:cs="Arial"/>
          <w:color w:val="77787B"/>
          <w:sz w:val="20"/>
          <w:szCs w:val="20"/>
        </w:rPr>
        <w:t xml:space="preserve">inadequate, it is suggested to start iron supplementation at 6 mg/kg/day of </w:t>
      </w:r>
      <w:r w:rsidRPr="00B97A72">
        <w:rPr>
          <w:rFonts w:ascii="Arial" w:hAnsi="Arial" w:cs="Arial"/>
          <w:b/>
          <w:bCs/>
          <w:color w:val="77787B"/>
          <w:sz w:val="20"/>
          <w:szCs w:val="20"/>
          <w:u w:val="single"/>
        </w:rPr>
        <w:t>elemental</w:t>
      </w:r>
      <w:r w:rsidRPr="00B97A72">
        <w:rPr>
          <w:rFonts w:ascii="Arial" w:hAnsi="Arial" w:cs="Arial"/>
          <w:color w:val="77787B"/>
          <w:sz w:val="20"/>
          <w:szCs w:val="20"/>
        </w:rPr>
        <w:t xml:space="preserve"> iron. Iron absorption is best in the acidic gastric environment and</w:t>
      </w:r>
      <w:r w:rsidR="00392C76">
        <w:rPr>
          <w:rFonts w:ascii="Arial" w:hAnsi="Arial" w:cs="Arial"/>
          <w:color w:val="77787B"/>
          <w:sz w:val="20"/>
          <w:szCs w:val="20"/>
        </w:rPr>
        <w:t>,</w:t>
      </w:r>
      <w:r w:rsidRPr="00B97A72">
        <w:rPr>
          <w:rFonts w:ascii="Arial" w:hAnsi="Arial" w:cs="Arial"/>
          <w:color w:val="77787B"/>
          <w:sz w:val="20"/>
          <w:szCs w:val="20"/>
        </w:rPr>
        <w:t xml:space="preserve"> although iron can cause </w:t>
      </w:r>
      <w:r w:rsidR="001C1763" w:rsidRPr="00B97A72">
        <w:rPr>
          <w:rFonts w:ascii="Arial" w:hAnsi="Arial" w:cs="Arial"/>
          <w:color w:val="77787B"/>
          <w:sz w:val="20"/>
          <w:szCs w:val="20"/>
        </w:rPr>
        <w:t xml:space="preserve">gastrointestinal </w:t>
      </w:r>
      <w:proofErr w:type="gramStart"/>
      <w:r w:rsidR="001C1763" w:rsidRPr="00B97A72">
        <w:rPr>
          <w:rFonts w:ascii="Arial" w:hAnsi="Arial" w:cs="Arial"/>
          <w:color w:val="77787B"/>
          <w:sz w:val="20"/>
          <w:szCs w:val="20"/>
        </w:rPr>
        <w:t>discomfort</w:t>
      </w:r>
      <w:r w:rsidRPr="00B97A72">
        <w:rPr>
          <w:rFonts w:ascii="Arial" w:hAnsi="Arial" w:cs="Arial"/>
          <w:color w:val="77787B"/>
          <w:sz w:val="20"/>
          <w:szCs w:val="20"/>
        </w:rPr>
        <w:t>,  administration</w:t>
      </w:r>
      <w:proofErr w:type="gramEnd"/>
      <w:r w:rsidRPr="00B97A72">
        <w:rPr>
          <w:rFonts w:ascii="Arial" w:hAnsi="Arial" w:cs="Arial"/>
          <w:color w:val="77787B"/>
          <w:sz w:val="20"/>
          <w:szCs w:val="20"/>
        </w:rPr>
        <w:t xml:space="preserve"> of antacids, milk and calcium can impair its absorption and should</w:t>
      </w:r>
      <w:r w:rsidR="00392C76">
        <w:rPr>
          <w:rFonts w:ascii="Arial" w:hAnsi="Arial" w:cs="Arial"/>
          <w:color w:val="77787B"/>
          <w:sz w:val="20"/>
          <w:szCs w:val="20"/>
        </w:rPr>
        <w:t xml:space="preserve"> be</w:t>
      </w:r>
      <w:r w:rsidR="002B67C9">
        <w:rPr>
          <w:rFonts w:ascii="Arial" w:hAnsi="Arial" w:cs="Arial"/>
          <w:color w:val="77787B"/>
          <w:sz w:val="20"/>
          <w:szCs w:val="20"/>
        </w:rPr>
        <w:t xml:space="preserve"> (</w:t>
      </w:r>
      <w:r w:rsidRPr="00B97A72">
        <w:rPr>
          <w:rFonts w:ascii="Arial" w:hAnsi="Arial" w:cs="Arial"/>
          <w:color w:val="77787B"/>
          <w:sz w:val="20"/>
          <w:szCs w:val="20"/>
        </w:rPr>
        <w:t>ideally</w:t>
      </w:r>
      <w:r w:rsidR="002B67C9">
        <w:rPr>
          <w:rFonts w:ascii="Arial" w:hAnsi="Arial" w:cs="Arial"/>
          <w:color w:val="77787B"/>
          <w:sz w:val="20"/>
          <w:szCs w:val="20"/>
        </w:rPr>
        <w:t>)</w:t>
      </w:r>
      <w:r w:rsidR="00392C76">
        <w:rPr>
          <w:rFonts w:ascii="Arial" w:hAnsi="Arial" w:cs="Arial"/>
          <w:color w:val="77787B"/>
          <w:sz w:val="20"/>
          <w:szCs w:val="20"/>
        </w:rPr>
        <w:t>,</w:t>
      </w:r>
      <w:r w:rsidRPr="00B97A72">
        <w:rPr>
          <w:rFonts w:ascii="Arial" w:hAnsi="Arial" w:cs="Arial"/>
          <w:color w:val="77787B"/>
          <w:sz w:val="20"/>
          <w:szCs w:val="20"/>
        </w:rPr>
        <w:t xml:space="preserve">withheld until 1 hour before or  2 hours after an iron dose. Some pediatric formulas </w:t>
      </w:r>
      <w:r w:rsidR="002B67C9">
        <w:rPr>
          <w:rFonts w:ascii="Arial" w:hAnsi="Arial" w:cs="Arial"/>
          <w:color w:val="77787B"/>
          <w:sz w:val="20"/>
          <w:szCs w:val="20"/>
        </w:rPr>
        <w:t>contain</w:t>
      </w:r>
      <w:r w:rsidR="002B67C9" w:rsidRPr="00B97A72">
        <w:rPr>
          <w:rFonts w:ascii="Arial" w:hAnsi="Arial" w:cs="Arial"/>
          <w:color w:val="77787B"/>
          <w:sz w:val="20"/>
          <w:szCs w:val="20"/>
        </w:rPr>
        <w:t xml:space="preserve"> </w:t>
      </w:r>
      <w:r w:rsidRPr="00B97A72">
        <w:rPr>
          <w:rFonts w:ascii="Arial" w:hAnsi="Arial" w:cs="Arial"/>
          <w:color w:val="77787B"/>
          <w:sz w:val="20"/>
          <w:szCs w:val="20"/>
        </w:rPr>
        <w:t xml:space="preserve">iron and vitamin supplementation, and additional supplemental iron dosing should be adjusted to the total daily dose target. Careful attention should be given to iron storage tests in the setting of hemolysis, as iron supplementation can lead to iron overload and hepatic dysfunction. In severe cases </w:t>
      </w:r>
      <w:r w:rsidRPr="00B97A72">
        <w:rPr>
          <w:rFonts w:ascii="Arial" w:hAnsi="Arial" w:cs="Arial"/>
          <w:color w:val="77787B"/>
          <w:sz w:val="20"/>
          <w:szCs w:val="20"/>
        </w:rPr>
        <w:lastRenderedPageBreak/>
        <w:t>of iron deficiency and GI intolerance, iron infusions can be administered according to patient needs.</w:t>
      </w:r>
    </w:p>
    <w:p w14:paraId="0D589B36" w14:textId="77777777" w:rsidR="00BF25B6" w:rsidRPr="00B97A72" w:rsidRDefault="00BF25B6" w:rsidP="00BF25B6">
      <w:pPr>
        <w:pStyle w:val="ListParagraph"/>
        <w:ind w:left="2160"/>
        <w:jc w:val="both"/>
        <w:rPr>
          <w:rFonts w:ascii="Arial" w:hAnsi="Arial" w:cs="Arial"/>
          <w:color w:val="77787B"/>
          <w:sz w:val="20"/>
          <w:szCs w:val="20"/>
        </w:rPr>
      </w:pPr>
    </w:p>
    <w:p w14:paraId="1B472E7A" w14:textId="77777777" w:rsidR="00BF25B6" w:rsidRPr="00B97A72" w:rsidRDefault="00BF25B6" w:rsidP="00BF25B6">
      <w:pPr>
        <w:pStyle w:val="ListParagraph"/>
        <w:numPr>
          <w:ilvl w:val="2"/>
          <w:numId w:val="28"/>
        </w:numPr>
        <w:jc w:val="both"/>
        <w:rPr>
          <w:rFonts w:ascii="Arial" w:hAnsi="Arial" w:cs="Arial"/>
          <w:color w:val="77787B"/>
          <w:sz w:val="20"/>
          <w:szCs w:val="20"/>
        </w:rPr>
      </w:pPr>
      <w:r w:rsidRPr="00B97A72">
        <w:rPr>
          <w:rFonts w:ascii="Arial" w:hAnsi="Arial" w:cs="Arial"/>
          <w:color w:val="77787B"/>
          <w:sz w:val="20"/>
          <w:szCs w:val="20"/>
        </w:rPr>
        <w:t xml:space="preserve">Intravenous Iron: </w:t>
      </w:r>
    </w:p>
    <w:p w14:paraId="14CEB938" w14:textId="1F315999" w:rsidR="00BF25B6" w:rsidRPr="00B97A72" w:rsidRDefault="00BF25B6" w:rsidP="00BF25B6">
      <w:pPr>
        <w:ind w:left="2130"/>
        <w:jc w:val="both"/>
        <w:rPr>
          <w:rFonts w:ascii="Arial" w:hAnsi="Arial" w:cs="Arial"/>
          <w:color w:val="77787B"/>
          <w:sz w:val="20"/>
          <w:szCs w:val="20"/>
        </w:rPr>
      </w:pPr>
      <w:r w:rsidRPr="001C1763">
        <w:rPr>
          <w:rFonts w:ascii="Arial" w:hAnsi="Arial" w:cs="Arial"/>
          <w:b/>
          <w:bCs/>
          <w:color w:val="77787B"/>
          <w:sz w:val="20"/>
          <w:szCs w:val="20"/>
        </w:rPr>
        <w:t>Contraindications</w:t>
      </w:r>
      <w:r w:rsidRPr="00B97A72">
        <w:rPr>
          <w:rFonts w:ascii="Arial" w:hAnsi="Arial" w:cs="Arial"/>
          <w:color w:val="77787B"/>
          <w:sz w:val="20"/>
          <w:szCs w:val="20"/>
        </w:rPr>
        <w:t xml:space="preserve">: Significant active infection, history of anaphylaxis with IV iron. </w:t>
      </w:r>
    </w:p>
    <w:p w14:paraId="59A443FA" w14:textId="77777777" w:rsidR="00BF25B6" w:rsidRPr="00B97A72" w:rsidRDefault="00BF25B6" w:rsidP="00BF25B6">
      <w:pPr>
        <w:ind w:left="1440"/>
        <w:jc w:val="both"/>
        <w:rPr>
          <w:rFonts w:ascii="Arial" w:hAnsi="Arial" w:cs="Arial"/>
          <w:color w:val="77787B"/>
          <w:sz w:val="20"/>
          <w:szCs w:val="20"/>
        </w:rPr>
      </w:pPr>
    </w:p>
    <w:p w14:paraId="0DD0B53A" w14:textId="125A5BEB" w:rsidR="00BF25B6" w:rsidRPr="001C1763" w:rsidRDefault="002B67C9" w:rsidP="001C1763">
      <w:pPr>
        <w:pStyle w:val="ListParagraph"/>
        <w:numPr>
          <w:ilvl w:val="0"/>
          <w:numId w:val="33"/>
        </w:numPr>
        <w:jc w:val="both"/>
        <w:rPr>
          <w:rFonts w:ascii="Arial" w:hAnsi="Arial" w:cs="Arial"/>
          <w:color w:val="77787B"/>
          <w:sz w:val="20"/>
          <w:szCs w:val="20"/>
        </w:rPr>
      </w:pPr>
      <w:r w:rsidRPr="001C1763">
        <w:rPr>
          <w:rFonts w:ascii="Arial" w:hAnsi="Arial" w:cs="Arial"/>
          <w:color w:val="77787B"/>
          <w:sz w:val="20"/>
          <w:szCs w:val="20"/>
        </w:rPr>
        <w:t xml:space="preserve">Results </w:t>
      </w:r>
      <w:r w:rsidR="00BF25B6" w:rsidRPr="001C1763">
        <w:rPr>
          <w:rFonts w:ascii="Arial" w:hAnsi="Arial" w:cs="Arial"/>
          <w:color w:val="77787B"/>
          <w:sz w:val="20"/>
          <w:szCs w:val="20"/>
        </w:rPr>
        <w:t xml:space="preserve">are superior when used with lower baseline ferritin </w:t>
      </w:r>
      <w:r w:rsidR="00392C76" w:rsidRPr="001C1763">
        <w:rPr>
          <w:rFonts w:ascii="Arial" w:hAnsi="Arial" w:cs="Arial"/>
          <w:color w:val="77787B"/>
          <w:sz w:val="20"/>
          <w:szCs w:val="20"/>
        </w:rPr>
        <w:t xml:space="preserve">and </w:t>
      </w:r>
      <w:r w:rsidR="00BF25B6" w:rsidRPr="001C1763">
        <w:rPr>
          <w:rFonts w:ascii="Arial" w:hAnsi="Arial" w:cs="Arial"/>
          <w:color w:val="77787B"/>
          <w:sz w:val="20"/>
          <w:szCs w:val="20"/>
        </w:rPr>
        <w:t>with</w:t>
      </w:r>
      <w:r w:rsidRPr="001C1763">
        <w:rPr>
          <w:rFonts w:ascii="Arial" w:hAnsi="Arial" w:cs="Arial"/>
          <w:color w:val="77787B"/>
          <w:sz w:val="20"/>
          <w:szCs w:val="20"/>
        </w:rPr>
        <w:t xml:space="preserve"> concurrent</w:t>
      </w:r>
      <w:r w:rsidR="00BF25B6" w:rsidRPr="001C1763">
        <w:rPr>
          <w:rFonts w:ascii="Arial" w:hAnsi="Arial" w:cs="Arial"/>
          <w:color w:val="77787B"/>
          <w:sz w:val="20"/>
          <w:szCs w:val="20"/>
        </w:rPr>
        <w:t xml:space="preserve"> use of </w:t>
      </w:r>
      <w:proofErr w:type="spellStart"/>
      <w:r w:rsidR="00BF25B6" w:rsidRPr="001C1763">
        <w:rPr>
          <w:rFonts w:ascii="Arial" w:hAnsi="Arial" w:cs="Arial"/>
          <w:color w:val="77787B"/>
          <w:sz w:val="20"/>
          <w:szCs w:val="20"/>
        </w:rPr>
        <w:t>erythropoietins</w:t>
      </w:r>
      <w:proofErr w:type="spellEnd"/>
      <w:r w:rsidR="00BF25B6" w:rsidRPr="001C1763">
        <w:rPr>
          <w:rFonts w:ascii="Arial" w:hAnsi="Arial" w:cs="Arial"/>
          <w:color w:val="77787B"/>
          <w:sz w:val="20"/>
          <w:szCs w:val="20"/>
        </w:rPr>
        <w:t xml:space="preserve"> </w:t>
      </w:r>
      <w:proofErr w:type="gramStart"/>
      <w:r w:rsidR="00BF25B6" w:rsidRPr="001C1763">
        <w:rPr>
          <w:rFonts w:ascii="Arial" w:hAnsi="Arial" w:cs="Arial"/>
          <w:color w:val="77787B"/>
          <w:sz w:val="20"/>
          <w:szCs w:val="20"/>
        </w:rPr>
        <w:t>as  marrow</w:t>
      </w:r>
      <w:proofErr w:type="gramEnd"/>
      <w:r w:rsidR="00BF25B6" w:rsidRPr="001C1763">
        <w:rPr>
          <w:rFonts w:ascii="Arial" w:hAnsi="Arial" w:cs="Arial"/>
          <w:color w:val="77787B"/>
          <w:sz w:val="20"/>
          <w:szCs w:val="20"/>
        </w:rPr>
        <w:t xml:space="preserve"> stimulating</w:t>
      </w:r>
      <w:r w:rsidR="00392C76" w:rsidRPr="001C1763">
        <w:rPr>
          <w:rFonts w:ascii="Arial" w:hAnsi="Arial" w:cs="Arial"/>
          <w:color w:val="77787B"/>
          <w:sz w:val="20"/>
          <w:szCs w:val="20"/>
        </w:rPr>
        <w:t xml:space="preserve"> </w:t>
      </w:r>
      <w:r w:rsidR="00BF25B6" w:rsidRPr="001C1763">
        <w:rPr>
          <w:rFonts w:ascii="Arial" w:hAnsi="Arial" w:cs="Arial"/>
          <w:color w:val="77787B"/>
          <w:sz w:val="20"/>
          <w:szCs w:val="20"/>
        </w:rPr>
        <w:t xml:space="preserve">agents (ESA). </w:t>
      </w:r>
    </w:p>
    <w:p w14:paraId="1AC518A9" w14:textId="77777777" w:rsidR="00BF25B6" w:rsidRPr="00B97A72" w:rsidRDefault="00BF25B6" w:rsidP="00BF25B6">
      <w:pPr>
        <w:ind w:left="1980"/>
        <w:jc w:val="both"/>
        <w:rPr>
          <w:rFonts w:ascii="Arial" w:hAnsi="Arial" w:cs="Arial"/>
          <w:color w:val="77787B"/>
          <w:sz w:val="20"/>
          <w:szCs w:val="20"/>
        </w:rPr>
      </w:pPr>
    </w:p>
    <w:p w14:paraId="164FD3C7" w14:textId="77777777" w:rsidR="00BF25B6" w:rsidRPr="00B97A72" w:rsidRDefault="00BF25B6" w:rsidP="00BF25B6">
      <w:pPr>
        <w:ind w:left="1440" w:firstLine="720"/>
        <w:jc w:val="center"/>
        <w:rPr>
          <w:rFonts w:ascii="Arial" w:hAnsi="Arial" w:cs="Arial"/>
          <w:color w:val="77787B"/>
          <w:sz w:val="20"/>
          <w:szCs w:val="20"/>
        </w:rPr>
      </w:pPr>
      <w:r w:rsidRPr="00B97A72">
        <w:rPr>
          <w:rFonts w:ascii="Arial" w:hAnsi="Arial" w:cs="Arial"/>
          <w:color w:val="77787B"/>
          <w:sz w:val="20"/>
          <w:szCs w:val="20"/>
        </w:rPr>
        <w:t xml:space="preserve">Total replacement dose (mg of iron) = </w:t>
      </w:r>
    </w:p>
    <w:p w14:paraId="0F7C3E9B" w14:textId="77777777" w:rsidR="00BF25B6" w:rsidRPr="00B97A72" w:rsidRDefault="00BF25B6" w:rsidP="00BF25B6">
      <w:pPr>
        <w:ind w:left="1440" w:firstLine="720"/>
        <w:jc w:val="center"/>
        <w:rPr>
          <w:rFonts w:ascii="Arial" w:hAnsi="Arial" w:cs="Arial"/>
          <w:color w:val="77787B"/>
          <w:sz w:val="20"/>
          <w:szCs w:val="20"/>
        </w:rPr>
      </w:pPr>
      <m:oMathPara>
        <m:oMath>
          <m:r>
            <w:rPr>
              <w:rFonts w:ascii="Cambria Math" w:hAnsi="Cambria Math" w:cs="Arial"/>
              <w:color w:val="77787B"/>
              <w:sz w:val="20"/>
              <w:szCs w:val="20"/>
            </w:rPr>
            <m:t>0.6*Wt (kg)</m:t>
          </m:r>
          <m:sSup>
            <m:sSupPr>
              <m:ctrlPr>
                <w:rPr>
                  <w:rFonts w:ascii="Cambria Math" w:hAnsi="Cambria Math" w:cs="Arial"/>
                  <w:i/>
                  <w:color w:val="77787B"/>
                  <w:sz w:val="20"/>
                  <w:szCs w:val="20"/>
                </w:rPr>
              </m:ctrlPr>
            </m:sSupPr>
            <m:e>
              <m:d>
                <m:dPr>
                  <m:begChr m:val=""/>
                  <m:ctrlPr>
                    <w:rPr>
                      <w:rFonts w:ascii="Cambria Math" w:hAnsi="Cambria Math" w:cs="Arial"/>
                      <w:i/>
                      <w:color w:val="77787B"/>
                      <w:sz w:val="20"/>
                      <w:szCs w:val="20"/>
                    </w:rPr>
                  </m:ctrlPr>
                </m:dPr>
                <m:e>
                  <m:d>
                    <m:dPr>
                      <m:endChr m:val=""/>
                      <m:ctrlPr>
                        <w:rPr>
                          <w:rFonts w:ascii="Cambria Math" w:hAnsi="Cambria Math" w:cs="Arial"/>
                          <w:i/>
                          <w:color w:val="77787B"/>
                          <w:sz w:val="20"/>
                          <w:szCs w:val="20"/>
                        </w:rPr>
                      </m:ctrlPr>
                    </m:dPr>
                    <m:e>
                      <m:r>
                        <w:rPr>
                          <w:rFonts w:ascii="Cambria Math" w:hAnsi="Cambria Math" w:cs="Arial"/>
                          <w:color w:val="77787B"/>
                          <w:sz w:val="20"/>
                          <w:szCs w:val="20"/>
                        </w:rPr>
                        <m:t xml:space="preserve">100- </m:t>
                      </m:r>
                      <m:f>
                        <m:fPr>
                          <m:ctrlPr>
                            <w:rPr>
                              <w:rFonts w:ascii="Cambria Math" w:hAnsi="Cambria Math" w:cs="Arial"/>
                              <w:i/>
                              <w:color w:val="77787B"/>
                              <w:sz w:val="20"/>
                              <w:szCs w:val="20"/>
                            </w:rPr>
                          </m:ctrlPr>
                        </m:fPr>
                        <m:num>
                          <m:r>
                            <w:rPr>
                              <w:rFonts w:ascii="Cambria Math" w:hAnsi="Cambria Math" w:cs="Arial"/>
                              <w:color w:val="77787B"/>
                              <w:sz w:val="20"/>
                              <w:szCs w:val="20"/>
                            </w:rPr>
                            <m:t>Hg (actual)</m:t>
                          </m:r>
                        </m:num>
                        <m:den>
                          <m:r>
                            <w:rPr>
                              <w:rFonts w:ascii="Cambria Math" w:hAnsi="Cambria Math" w:cs="Arial"/>
                              <w:color w:val="77787B"/>
                              <w:sz w:val="20"/>
                              <w:szCs w:val="20"/>
                            </w:rPr>
                            <m:t>Hg (ideal, e.g. 12)</m:t>
                          </m:r>
                        </m:den>
                      </m:f>
                    </m:e>
                  </m:d>
                  <m:r>
                    <w:rPr>
                      <w:rFonts w:ascii="Cambria Math" w:hAnsi="Cambria Math" w:cs="Arial"/>
                      <w:color w:val="77787B"/>
                      <w:sz w:val="20"/>
                      <w:szCs w:val="20"/>
                    </w:rPr>
                    <m:t>*100</m:t>
                  </m:r>
                </m:e>
              </m:d>
            </m:e>
            <m:sup/>
          </m:sSup>
        </m:oMath>
      </m:oMathPara>
    </w:p>
    <w:p w14:paraId="2C7A7476" w14:textId="77777777" w:rsidR="00BF25B6" w:rsidRPr="00B97A72" w:rsidRDefault="00BF25B6" w:rsidP="00BF25B6">
      <w:pPr>
        <w:ind w:left="1980"/>
        <w:jc w:val="both"/>
        <w:rPr>
          <w:rFonts w:ascii="Arial" w:hAnsi="Arial" w:cs="Arial"/>
          <w:color w:val="77787B"/>
          <w:sz w:val="20"/>
          <w:szCs w:val="20"/>
        </w:rPr>
      </w:pPr>
    </w:p>
    <w:p w14:paraId="70D29686" w14:textId="7BC8D9E6" w:rsidR="00BF25B6" w:rsidRPr="00823566" w:rsidRDefault="00BF25B6" w:rsidP="00751BC3">
      <w:pPr>
        <w:pStyle w:val="ListParagraph"/>
        <w:numPr>
          <w:ilvl w:val="0"/>
          <w:numId w:val="33"/>
        </w:numPr>
        <w:jc w:val="both"/>
        <w:rPr>
          <w:rFonts w:ascii="Arial" w:hAnsi="Arial" w:cs="Arial"/>
          <w:color w:val="77787B"/>
          <w:sz w:val="20"/>
          <w:szCs w:val="20"/>
        </w:rPr>
      </w:pPr>
      <w:r w:rsidRPr="001C1763">
        <w:rPr>
          <w:rFonts w:ascii="Arial" w:hAnsi="Arial" w:cs="Arial"/>
          <w:color w:val="77787B"/>
          <w:sz w:val="20"/>
          <w:szCs w:val="20"/>
        </w:rPr>
        <w:t xml:space="preserve">Usual preparations include </w:t>
      </w:r>
      <w:proofErr w:type="spellStart"/>
      <w:r w:rsidRPr="001C1763">
        <w:rPr>
          <w:rFonts w:ascii="Arial" w:hAnsi="Arial" w:cs="Arial"/>
          <w:color w:val="77787B"/>
          <w:sz w:val="20"/>
          <w:szCs w:val="20"/>
        </w:rPr>
        <w:t>Venofer</w:t>
      </w:r>
      <w:proofErr w:type="spellEnd"/>
      <w:r w:rsidRPr="001C1763">
        <w:rPr>
          <w:rFonts w:ascii="Arial" w:hAnsi="Arial" w:cs="Arial"/>
          <w:color w:val="77787B"/>
          <w:sz w:val="20"/>
          <w:szCs w:val="20"/>
        </w:rPr>
        <w:t xml:space="preserve">™ (iron sucrose) and </w:t>
      </w:r>
      <w:proofErr w:type="spellStart"/>
      <w:r w:rsidRPr="001C1763">
        <w:rPr>
          <w:rFonts w:ascii="Arial" w:hAnsi="Arial" w:cs="Arial"/>
          <w:color w:val="77787B"/>
          <w:sz w:val="20"/>
          <w:szCs w:val="20"/>
        </w:rPr>
        <w:t>Injectafer</w:t>
      </w:r>
      <w:proofErr w:type="spellEnd"/>
      <w:r w:rsidRPr="001C1763">
        <w:rPr>
          <w:rFonts w:ascii="Arial" w:hAnsi="Arial" w:cs="Arial"/>
          <w:color w:val="77787B"/>
          <w:sz w:val="20"/>
          <w:szCs w:val="20"/>
        </w:rPr>
        <w:t>™ 9</w:t>
      </w:r>
      <w:r w:rsidRPr="001C1763">
        <w:rPr>
          <w:rFonts w:ascii="Arial" w:hAnsi="Arial" w:cs="Arial"/>
          <w:b/>
          <w:bCs/>
          <w:color w:val="77787B"/>
          <w:sz w:val="20"/>
          <w:szCs w:val="20"/>
        </w:rPr>
        <w:t xml:space="preserve"> </w:t>
      </w:r>
      <w:r w:rsidRPr="001C1763">
        <w:rPr>
          <w:rFonts w:ascii="Arial" w:hAnsi="Arial" w:cs="Arial"/>
          <w:bCs/>
          <w:color w:val="77787B"/>
          <w:sz w:val="20"/>
          <w:szCs w:val="20"/>
        </w:rPr>
        <w:t xml:space="preserve">(Ferric </w:t>
      </w:r>
      <w:proofErr w:type="spellStart"/>
      <w:r w:rsidRPr="001C1763">
        <w:rPr>
          <w:rFonts w:ascii="Arial" w:hAnsi="Arial" w:cs="Arial"/>
          <w:bCs/>
          <w:color w:val="77787B"/>
          <w:sz w:val="20"/>
          <w:szCs w:val="20"/>
        </w:rPr>
        <w:t>carboxymaltose</w:t>
      </w:r>
      <w:proofErr w:type="spellEnd"/>
      <w:r w:rsidR="00751BC3">
        <w:rPr>
          <w:rFonts w:ascii="Arial" w:hAnsi="Arial" w:cs="Arial"/>
          <w:bCs/>
          <w:color w:val="77787B"/>
          <w:sz w:val="20"/>
          <w:szCs w:val="20"/>
        </w:rPr>
        <w:t>)</w:t>
      </w:r>
      <w:r w:rsidR="00751BC3" w:rsidRPr="001C1763">
        <w:rPr>
          <w:rFonts w:ascii="Arial" w:hAnsi="Arial" w:cs="Arial"/>
          <w:color w:val="77787B"/>
          <w:sz w:val="20"/>
          <w:szCs w:val="20"/>
        </w:rPr>
        <w:t>. Institution</w:t>
      </w:r>
      <w:r w:rsidRPr="001C1763">
        <w:rPr>
          <w:rFonts w:ascii="Arial" w:hAnsi="Arial" w:cs="Arial"/>
          <w:color w:val="77787B"/>
          <w:sz w:val="20"/>
          <w:szCs w:val="20"/>
        </w:rPr>
        <w:t>-specific</w:t>
      </w:r>
      <w:r w:rsidR="002B67C9" w:rsidRPr="001C1763">
        <w:rPr>
          <w:rFonts w:ascii="Arial" w:hAnsi="Arial" w:cs="Arial"/>
          <w:color w:val="77787B"/>
          <w:sz w:val="20"/>
          <w:szCs w:val="20"/>
        </w:rPr>
        <w:t xml:space="preserve"> formulations can be considered</w:t>
      </w:r>
      <w:r w:rsidRPr="001C1763">
        <w:rPr>
          <w:rFonts w:ascii="Arial" w:hAnsi="Arial" w:cs="Arial"/>
          <w:color w:val="77787B"/>
          <w:sz w:val="20"/>
          <w:szCs w:val="20"/>
        </w:rPr>
        <w:t>.</w:t>
      </w:r>
      <w:r w:rsidR="002B67C9">
        <w:rPr>
          <w:rFonts w:ascii="Arial" w:hAnsi="Arial" w:cs="Arial"/>
          <w:color w:val="77787B"/>
          <w:sz w:val="20"/>
          <w:szCs w:val="20"/>
        </w:rPr>
        <w:t xml:space="preserve"> Most studies report maximum doses of IV iron as 200mg per infusion of iron sucrose and 1000mg per infusion of ferric </w:t>
      </w:r>
      <w:proofErr w:type="spellStart"/>
      <w:r w:rsidR="002B67C9">
        <w:rPr>
          <w:rFonts w:ascii="Arial" w:hAnsi="Arial" w:cs="Arial"/>
          <w:color w:val="77787B"/>
          <w:sz w:val="20"/>
          <w:szCs w:val="20"/>
        </w:rPr>
        <w:t>carboxymaltose</w:t>
      </w:r>
      <w:proofErr w:type="spellEnd"/>
      <w:r w:rsidR="002B67C9">
        <w:rPr>
          <w:rFonts w:ascii="Arial" w:hAnsi="Arial" w:cs="Arial"/>
          <w:color w:val="77787B"/>
          <w:sz w:val="20"/>
          <w:szCs w:val="20"/>
        </w:rPr>
        <w:t>.</w:t>
      </w:r>
    </w:p>
    <w:p w14:paraId="59E593B4" w14:textId="77777777" w:rsidR="00BF25B6" w:rsidRPr="00823566" w:rsidRDefault="00BF25B6" w:rsidP="00751BC3">
      <w:pPr>
        <w:pStyle w:val="ListParagraph"/>
        <w:numPr>
          <w:ilvl w:val="0"/>
          <w:numId w:val="33"/>
        </w:numPr>
        <w:jc w:val="both"/>
        <w:rPr>
          <w:rFonts w:ascii="Arial" w:hAnsi="Arial" w:cs="Arial"/>
          <w:color w:val="77787B"/>
          <w:sz w:val="20"/>
          <w:szCs w:val="20"/>
        </w:rPr>
      </w:pPr>
      <w:r w:rsidRPr="00823566">
        <w:rPr>
          <w:rFonts w:ascii="Arial" w:hAnsi="Arial" w:cs="Arial"/>
          <w:color w:val="77787B"/>
          <w:sz w:val="20"/>
          <w:szCs w:val="20"/>
        </w:rPr>
        <w:t xml:space="preserve">Routine pre-medication is not required (consider pre-medication if atopic history). Slower infusion rates decrease adverse event risk. </w:t>
      </w:r>
    </w:p>
    <w:p w14:paraId="263006DC" w14:textId="269157AF" w:rsidR="00BF25B6" w:rsidRPr="00B97A72" w:rsidRDefault="00BF25B6" w:rsidP="00BF25B6">
      <w:pPr>
        <w:ind w:left="1980"/>
        <w:jc w:val="both"/>
        <w:rPr>
          <w:rFonts w:ascii="Arial" w:hAnsi="Arial" w:cs="Arial"/>
          <w:color w:val="77787B"/>
          <w:sz w:val="20"/>
          <w:szCs w:val="20"/>
        </w:rPr>
      </w:pPr>
      <w:r w:rsidRPr="00751BC3">
        <w:rPr>
          <w:rFonts w:ascii="Arial" w:hAnsi="Arial" w:cs="Arial"/>
          <w:b/>
          <w:bCs/>
          <w:color w:val="77787B"/>
          <w:sz w:val="20"/>
          <w:szCs w:val="20"/>
        </w:rPr>
        <w:t xml:space="preserve">Monitoring: </w:t>
      </w:r>
      <w:r w:rsidRPr="00B97A72">
        <w:rPr>
          <w:rFonts w:ascii="Arial" w:hAnsi="Arial" w:cs="Arial"/>
          <w:color w:val="77787B"/>
          <w:sz w:val="20"/>
          <w:szCs w:val="20"/>
        </w:rPr>
        <w:t xml:space="preserve">HR, BP, O2 Sat every 15 minutes. Less </w:t>
      </w:r>
      <w:proofErr w:type="gramStart"/>
      <w:r w:rsidRPr="00B97A72">
        <w:rPr>
          <w:rFonts w:ascii="Arial" w:hAnsi="Arial" w:cs="Arial"/>
          <w:color w:val="77787B"/>
          <w:sz w:val="20"/>
          <w:szCs w:val="20"/>
        </w:rPr>
        <w:t>than  1</w:t>
      </w:r>
      <w:proofErr w:type="gramEnd"/>
      <w:r w:rsidRPr="00B97A72">
        <w:rPr>
          <w:rFonts w:ascii="Arial" w:hAnsi="Arial" w:cs="Arial"/>
          <w:color w:val="77787B"/>
          <w:sz w:val="20"/>
          <w:szCs w:val="20"/>
        </w:rPr>
        <w:t>/200,000 infusions will result in serious adverse event. Common issues with administration include</w:t>
      </w:r>
      <w:r w:rsidR="002B67C9">
        <w:rPr>
          <w:rFonts w:ascii="Arial" w:hAnsi="Arial" w:cs="Arial"/>
          <w:color w:val="77787B"/>
          <w:sz w:val="20"/>
          <w:szCs w:val="20"/>
        </w:rPr>
        <w:t>:</w:t>
      </w:r>
      <w:r w:rsidRPr="00B97A72">
        <w:rPr>
          <w:rFonts w:ascii="Arial" w:hAnsi="Arial" w:cs="Arial"/>
          <w:color w:val="77787B"/>
          <w:sz w:val="20"/>
          <w:szCs w:val="20"/>
        </w:rPr>
        <w:t xml:space="preserve"> </w:t>
      </w:r>
      <w:r w:rsidRPr="00017D13">
        <w:rPr>
          <w:rFonts w:ascii="Arial" w:hAnsi="Arial" w:cs="Arial"/>
          <w:i/>
          <w:iCs/>
          <w:color w:val="77787B"/>
          <w:sz w:val="20"/>
          <w:szCs w:val="20"/>
        </w:rPr>
        <w:t>muscle cramps, nausea/vomiting, headache, dyspnea, extravasation, fever, blood pressure changes</w:t>
      </w:r>
      <w:r w:rsidRPr="00B97A72">
        <w:rPr>
          <w:rFonts w:ascii="Arial" w:hAnsi="Arial" w:cs="Arial"/>
          <w:color w:val="77787B"/>
          <w:sz w:val="20"/>
          <w:szCs w:val="20"/>
        </w:rPr>
        <w:t xml:space="preserve">. Risk of anaphylaxis is low. </w:t>
      </w:r>
    </w:p>
    <w:p w14:paraId="1B83F007" w14:textId="0B525C05" w:rsidR="00BF25B6" w:rsidRPr="00B97A72" w:rsidRDefault="00BF25B6" w:rsidP="00BF25B6">
      <w:pPr>
        <w:ind w:left="1980"/>
        <w:jc w:val="both"/>
        <w:rPr>
          <w:rFonts w:ascii="Arial" w:hAnsi="Arial" w:cs="Arial"/>
          <w:color w:val="77787B"/>
          <w:sz w:val="20"/>
          <w:szCs w:val="20"/>
        </w:rPr>
      </w:pPr>
      <w:r w:rsidRPr="00B97A72">
        <w:rPr>
          <w:rFonts w:ascii="Arial" w:hAnsi="Arial" w:cs="Arial"/>
          <w:color w:val="77787B"/>
          <w:sz w:val="20"/>
          <w:szCs w:val="20"/>
        </w:rPr>
        <w:t>Follow CBC, reticulocyte count, ferritin, iron panel pre-dose and at a minimum of 1 and 4 weeks after administration</w:t>
      </w:r>
      <w:r w:rsidR="002B67C9">
        <w:rPr>
          <w:rFonts w:ascii="Arial" w:hAnsi="Arial" w:cs="Arial"/>
          <w:color w:val="77787B"/>
          <w:sz w:val="20"/>
          <w:szCs w:val="20"/>
        </w:rPr>
        <w:t>, and then monthly</w:t>
      </w:r>
      <w:r w:rsidRPr="00B97A72">
        <w:rPr>
          <w:rFonts w:ascii="Arial" w:hAnsi="Arial" w:cs="Arial"/>
          <w:color w:val="77787B"/>
          <w:sz w:val="20"/>
          <w:szCs w:val="20"/>
        </w:rPr>
        <w:t xml:space="preserve">. </w:t>
      </w:r>
    </w:p>
    <w:p w14:paraId="2F9C08AC" w14:textId="77777777" w:rsidR="00BF25B6" w:rsidRPr="00B97A72" w:rsidRDefault="00BF25B6" w:rsidP="00BF25B6">
      <w:pPr>
        <w:ind w:left="1980"/>
        <w:jc w:val="both"/>
        <w:rPr>
          <w:rFonts w:ascii="Arial" w:hAnsi="Arial" w:cs="Arial"/>
          <w:color w:val="77787B"/>
          <w:sz w:val="20"/>
          <w:szCs w:val="20"/>
        </w:rPr>
      </w:pPr>
    </w:p>
    <w:p w14:paraId="100576F1" w14:textId="77777777" w:rsidR="00BF25B6" w:rsidRPr="00B97A72" w:rsidRDefault="00BF25B6" w:rsidP="00BF25B6">
      <w:pPr>
        <w:pStyle w:val="ListParagraph"/>
        <w:numPr>
          <w:ilvl w:val="1"/>
          <w:numId w:val="28"/>
        </w:numPr>
        <w:jc w:val="both"/>
        <w:rPr>
          <w:rFonts w:ascii="Arial" w:hAnsi="Arial" w:cs="Arial"/>
          <w:color w:val="77787B"/>
          <w:sz w:val="20"/>
          <w:szCs w:val="20"/>
        </w:rPr>
      </w:pPr>
      <w:r w:rsidRPr="00B97A72">
        <w:rPr>
          <w:rFonts w:ascii="Arial" w:hAnsi="Arial" w:cs="Arial"/>
          <w:color w:val="77787B"/>
          <w:sz w:val="20"/>
          <w:szCs w:val="20"/>
        </w:rPr>
        <w:t xml:space="preserve">Folic acid level, B12, and B6 levels: Folic acid is essential for DNA synthesis and erythrocyte membrane stability. It is sometimes supplemented to facilitate erythropoiesis. Folic acid and Vitamin B12 also aid in the treatment and balance of </w:t>
      </w:r>
      <w:proofErr w:type="spellStart"/>
      <w:r w:rsidRPr="00B97A72">
        <w:rPr>
          <w:rFonts w:ascii="Arial" w:hAnsi="Arial" w:cs="Arial"/>
          <w:color w:val="77787B"/>
          <w:sz w:val="20"/>
          <w:szCs w:val="20"/>
        </w:rPr>
        <w:t>hyperhomocysteinemia</w:t>
      </w:r>
      <w:proofErr w:type="spellEnd"/>
      <w:r w:rsidRPr="00B97A72">
        <w:rPr>
          <w:rFonts w:ascii="Arial" w:hAnsi="Arial" w:cs="Arial"/>
          <w:color w:val="77787B"/>
          <w:sz w:val="20"/>
          <w:szCs w:val="20"/>
        </w:rPr>
        <w:t xml:space="preserve"> together with other B vitamins. </w:t>
      </w:r>
    </w:p>
    <w:p w14:paraId="3CB0C7D4" w14:textId="77777777" w:rsidR="00BF25B6" w:rsidRPr="00B97A72" w:rsidRDefault="00BF25B6" w:rsidP="00BF25B6">
      <w:pPr>
        <w:pStyle w:val="ListParagraph"/>
        <w:numPr>
          <w:ilvl w:val="1"/>
          <w:numId w:val="28"/>
        </w:numPr>
        <w:jc w:val="both"/>
        <w:rPr>
          <w:rFonts w:ascii="Arial" w:hAnsi="Arial" w:cs="Arial"/>
          <w:color w:val="77787B"/>
          <w:sz w:val="20"/>
          <w:szCs w:val="20"/>
        </w:rPr>
      </w:pPr>
      <w:r w:rsidRPr="00B97A72">
        <w:rPr>
          <w:rFonts w:ascii="Arial" w:hAnsi="Arial" w:cs="Arial"/>
          <w:color w:val="77787B"/>
          <w:sz w:val="20"/>
          <w:szCs w:val="20"/>
        </w:rPr>
        <w:t xml:space="preserve">Other vitamin levels, along with an assessment of micronutrient status, can aid in absorption of iron (example Vitamin C). </w:t>
      </w:r>
    </w:p>
    <w:p w14:paraId="64EEE668" w14:textId="77777777" w:rsidR="00BF25B6" w:rsidRPr="00B97A72" w:rsidRDefault="00BF25B6" w:rsidP="00BF25B6">
      <w:pPr>
        <w:ind w:left="1080"/>
        <w:jc w:val="both"/>
        <w:rPr>
          <w:rFonts w:ascii="Arial" w:hAnsi="Arial" w:cs="Arial"/>
          <w:color w:val="77787B"/>
          <w:sz w:val="20"/>
          <w:szCs w:val="20"/>
        </w:rPr>
      </w:pPr>
    </w:p>
    <w:p w14:paraId="68CED1DA" w14:textId="77777777" w:rsidR="00BF25B6" w:rsidRPr="00FD7D74" w:rsidRDefault="00BF25B6" w:rsidP="00BF25B6">
      <w:pPr>
        <w:pStyle w:val="ListParagraph"/>
        <w:jc w:val="both"/>
        <w:rPr>
          <w:rFonts w:cstheme="minorHAnsi"/>
        </w:rPr>
      </w:pPr>
    </w:p>
    <w:p w14:paraId="61557B8C" w14:textId="63A00371" w:rsidR="00BF25B6" w:rsidRPr="00B97A72" w:rsidRDefault="00B97A72" w:rsidP="00B97A72">
      <w:pPr>
        <w:jc w:val="both"/>
        <w:rPr>
          <w:rFonts w:cstheme="minorHAnsi"/>
          <w:u w:val="single"/>
        </w:rPr>
      </w:pPr>
      <w:r>
        <w:rPr>
          <w:rFonts w:ascii="Arial" w:hAnsi="Arial" w:cs="Arial"/>
          <w:b/>
          <w:color w:val="578988"/>
          <w:spacing w:val="20"/>
          <w:sz w:val="20"/>
          <w:szCs w:val="20"/>
        </w:rPr>
        <w:t xml:space="preserve">3. </w:t>
      </w:r>
      <w:r w:rsidR="00BF25B6" w:rsidRPr="00B97A72">
        <w:rPr>
          <w:rFonts w:ascii="Arial" w:hAnsi="Arial" w:cs="Arial"/>
          <w:b/>
          <w:color w:val="578988"/>
          <w:spacing w:val="20"/>
          <w:sz w:val="20"/>
          <w:szCs w:val="20"/>
        </w:rPr>
        <w:t>Erythropoietin (EPO) supplementation</w:t>
      </w:r>
      <w:r w:rsidR="00BF25B6" w:rsidRPr="00890738">
        <w:rPr>
          <w:rFonts w:ascii="Arial" w:hAnsi="Arial" w:cs="Arial"/>
          <w:color w:val="77787B"/>
          <w:sz w:val="20"/>
          <w:szCs w:val="20"/>
        </w:rPr>
        <w:t xml:space="preserve"> (1-2 weeks post implant):</w:t>
      </w:r>
      <w:r w:rsidR="00BF25B6" w:rsidRPr="00B97A72">
        <w:rPr>
          <w:rFonts w:cstheme="minorHAnsi"/>
          <w:u w:val="single"/>
        </w:rPr>
        <w:t xml:space="preserve">  </w:t>
      </w:r>
    </w:p>
    <w:p w14:paraId="12C4AB74" w14:textId="77777777" w:rsidR="0054393C" w:rsidRDefault="00BF25B6" w:rsidP="0054393C">
      <w:pPr>
        <w:ind w:left="540"/>
        <w:jc w:val="both"/>
        <w:rPr>
          <w:rFonts w:ascii="Arial" w:hAnsi="Arial" w:cs="Arial"/>
          <w:color w:val="77787B"/>
          <w:sz w:val="20"/>
          <w:szCs w:val="20"/>
        </w:rPr>
      </w:pPr>
      <w:r w:rsidRPr="00890738">
        <w:rPr>
          <w:rFonts w:ascii="Arial" w:hAnsi="Arial" w:cs="Arial"/>
          <w:color w:val="77787B"/>
          <w:sz w:val="20"/>
          <w:szCs w:val="20"/>
        </w:rPr>
        <w:t>Erythropoietin is produced by the kidney and can be affected by renal dysfunction/</w:t>
      </w:r>
      <w:r w:rsidR="00CF3802" w:rsidRPr="00890738">
        <w:rPr>
          <w:rFonts w:ascii="Arial" w:hAnsi="Arial" w:cs="Arial"/>
          <w:color w:val="77787B"/>
          <w:sz w:val="20"/>
          <w:szCs w:val="20"/>
        </w:rPr>
        <w:t>injury, inflammatory</w:t>
      </w:r>
      <w:r w:rsidRPr="00890738">
        <w:rPr>
          <w:rFonts w:ascii="Arial" w:hAnsi="Arial" w:cs="Arial"/>
          <w:color w:val="77787B"/>
          <w:sz w:val="20"/>
          <w:szCs w:val="20"/>
        </w:rPr>
        <w:t xml:space="preserve"> states and other medications (especially chemotherapy and theophylline). Consider starting in accompaniment with iron and folic acid supplementation and, ideally, after ensuring iron storage levels adequate. Studies have shown </w:t>
      </w:r>
      <w:r w:rsidR="00EB6BD9">
        <w:rPr>
          <w:rFonts w:ascii="Arial" w:hAnsi="Arial" w:cs="Arial"/>
          <w:color w:val="77787B"/>
          <w:sz w:val="20"/>
          <w:szCs w:val="20"/>
        </w:rPr>
        <w:t xml:space="preserve">a </w:t>
      </w:r>
      <w:r w:rsidRPr="00890738">
        <w:rPr>
          <w:rFonts w:ascii="Arial" w:hAnsi="Arial" w:cs="Arial"/>
          <w:color w:val="77787B"/>
          <w:sz w:val="20"/>
          <w:szCs w:val="20"/>
        </w:rPr>
        <w:t xml:space="preserve">potential increase for thrombotic events in adult population thought to be secondary to increased viscosity and non-specific thrombopoietin effect sometimes causing an increase in platelet count. </w:t>
      </w:r>
      <w:r w:rsidR="00EB6BD9">
        <w:rPr>
          <w:rFonts w:ascii="Arial" w:hAnsi="Arial" w:cs="Arial"/>
          <w:color w:val="77787B"/>
          <w:sz w:val="20"/>
          <w:szCs w:val="20"/>
        </w:rPr>
        <w:t>Studies in pediatric patients are limited and report conflicting results.</w:t>
      </w:r>
    </w:p>
    <w:p w14:paraId="00019290" w14:textId="77777777" w:rsidR="0054393C" w:rsidRDefault="0054393C" w:rsidP="0054393C">
      <w:pPr>
        <w:ind w:left="540"/>
        <w:jc w:val="both"/>
        <w:rPr>
          <w:rFonts w:ascii="Arial" w:hAnsi="Arial" w:cs="Arial"/>
          <w:color w:val="77787B"/>
          <w:sz w:val="20"/>
          <w:szCs w:val="20"/>
        </w:rPr>
      </w:pPr>
    </w:p>
    <w:p w14:paraId="643788B3" w14:textId="5F9F5E7D" w:rsidR="0054393C" w:rsidRDefault="0060235D" w:rsidP="0054393C">
      <w:pPr>
        <w:ind w:left="540"/>
        <w:jc w:val="both"/>
        <w:rPr>
          <w:rFonts w:ascii="Arial" w:hAnsi="Arial" w:cs="Arial"/>
          <w:color w:val="77787B"/>
          <w:sz w:val="20"/>
          <w:szCs w:val="20"/>
        </w:rPr>
      </w:pPr>
      <w:r w:rsidRPr="0060235D">
        <w:rPr>
          <w:rFonts w:ascii="Arial" w:hAnsi="Arial" w:cs="Arial"/>
          <w:color w:val="77787B"/>
          <w:sz w:val="20"/>
          <w:szCs w:val="20"/>
        </w:rPr>
        <w:t>A retrospective single-center study (Hughes et al., 2022) found no clear association between epoetin alfa use and increased thrombotic risk, though variability in clinical practice was noted, underscoring the need for further prospective evaluation. Similarly, a multicenter analysis (Dillon et al., 2024) found that erythropoietin use was associated with reduced transfusion requirements but remained independently associated with an increased risk of stroke during VAD hospitalization.</w:t>
      </w:r>
    </w:p>
    <w:p w14:paraId="43AA1BB6" w14:textId="06CA85B7" w:rsidR="00C43DA5" w:rsidRPr="002A4440" w:rsidRDefault="00C43DA5" w:rsidP="0054393C">
      <w:pPr>
        <w:ind w:left="540"/>
        <w:jc w:val="both"/>
        <w:rPr>
          <w:rFonts w:ascii="Arial" w:hAnsi="Arial" w:cs="Arial"/>
          <w:color w:val="77787B"/>
          <w:sz w:val="20"/>
          <w:szCs w:val="20"/>
        </w:rPr>
      </w:pPr>
    </w:p>
    <w:p w14:paraId="2771A485" w14:textId="48536DDA" w:rsidR="00BF25B6" w:rsidRPr="00890738" w:rsidRDefault="00BF25B6" w:rsidP="00C83DDD">
      <w:pPr>
        <w:ind w:left="540"/>
        <w:jc w:val="both"/>
        <w:rPr>
          <w:rFonts w:ascii="Arial" w:hAnsi="Arial" w:cs="Arial"/>
          <w:color w:val="77787B"/>
          <w:sz w:val="20"/>
          <w:szCs w:val="20"/>
        </w:rPr>
      </w:pPr>
      <w:r w:rsidRPr="00890738">
        <w:rPr>
          <w:rFonts w:ascii="Arial" w:hAnsi="Arial" w:cs="Arial"/>
          <w:color w:val="77787B"/>
          <w:sz w:val="20"/>
          <w:szCs w:val="20"/>
        </w:rPr>
        <w:t xml:space="preserve">Anecdotally, several pediatric VAD centers have implemented regular use of erythropoietin stimulating agents (ESA) without clear evidence of increased thromboembolic events. More data is needed to analyze the effect of blood product sparing and thromboembolic episodes in relationship to use of ESAs. </w:t>
      </w:r>
    </w:p>
    <w:p w14:paraId="4DC1430E" w14:textId="77777777" w:rsidR="00BF25B6" w:rsidRPr="00890738" w:rsidRDefault="00BF25B6" w:rsidP="00BF25B6">
      <w:pPr>
        <w:ind w:left="360"/>
        <w:jc w:val="both"/>
        <w:rPr>
          <w:rFonts w:ascii="Arial" w:hAnsi="Arial" w:cs="Arial"/>
          <w:color w:val="77787B"/>
          <w:sz w:val="20"/>
          <w:szCs w:val="20"/>
        </w:rPr>
      </w:pPr>
    </w:p>
    <w:p w14:paraId="0A364788" w14:textId="5955E259" w:rsidR="00BF25B6" w:rsidRPr="00890738" w:rsidRDefault="00BF25B6" w:rsidP="00C83DDD">
      <w:pPr>
        <w:ind w:left="540"/>
        <w:jc w:val="both"/>
        <w:rPr>
          <w:rFonts w:ascii="Arial" w:hAnsi="Arial" w:cs="Arial"/>
          <w:color w:val="77787B"/>
          <w:sz w:val="20"/>
          <w:szCs w:val="20"/>
        </w:rPr>
      </w:pPr>
      <w:r w:rsidRPr="00890738">
        <w:rPr>
          <w:rFonts w:ascii="Arial" w:hAnsi="Arial" w:cs="Arial"/>
          <w:color w:val="77787B"/>
          <w:sz w:val="20"/>
          <w:szCs w:val="20"/>
        </w:rPr>
        <w:t>Some centers measure erythropoietin level prior to supplementation. Th</w:t>
      </w:r>
      <w:r w:rsidR="00EB6BD9">
        <w:rPr>
          <w:rFonts w:ascii="Arial" w:hAnsi="Arial" w:cs="Arial"/>
          <w:color w:val="77787B"/>
          <w:sz w:val="20"/>
          <w:szCs w:val="20"/>
        </w:rPr>
        <w:t>is</w:t>
      </w:r>
      <w:r w:rsidRPr="00890738">
        <w:rPr>
          <w:rFonts w:ascii="Arial" w:hAnsi="Arial" w:cs="Arial"/>
          <w:color w:val="77787B"/>
          <w:sz w:val="20"/>
          <w:szCs w:val="20"/>
        </w:rPr>
        <w:t xml:space="preserve"> can be done in conjunction with </w:t>
      </w:r>
      <w:r w:rsidR="00EB6BD9">
        <w:rPr>
          <w:rFonts w:ascii="Arial" w:hAnsi="Arial" w:cs="Arial"/>
          <w:color w:val="77787B"/>
          <w:sz w:val="20"/>
          <w:szCs w:val="20"/>
        </w:rPr>
        <w:t xml:space="preserve">the </w:t>
      </w:r>
      <w:r w:rsidRPr="00890738">
        <w:rPr>
          <w:rFonts w:ascii="Arial" w:hAnsi="Arial" w:cs="Arial"/>
          <w:color w:val="77787B"/>
          <w:sz w:val="20"/>
          <w:szCs w:val="20"/>
        </w:rPr>
        <w:t xml:space="preserve">hematology team. If </w:t>
      </w:r>
      <w:r w:rsidR="00EB6BD9">
        <w:rPr>
          <w:rFonts w:ascii="Arial" w:hAnsi="Arial" w:cs="Arial"/>
          <w:color w:val="77787B"/>
          <w:sz w:val="20"/>
          <w:szCs w:val="20"/>
        </w:rPr>
        <w:t>h</w:t>
      </w:r>
      <w:r w:rsidRPr="00890738">
        <w:rPr>
          <w:rFonts w:ascii="Arial" w:hAnsi="Arial" w:cs="Arial"/>
          <w:color w:val="77787B"/>
          <w:sz w:val="20"/>
          <w:szCs w:val="20"/>
        </w:rPr>
        <w:t xml:space="preserve">emoglobin </w:t>
      </w:r>
      <w:r w:rsidR="00EB6BD9">
        <w:rPr>
          <w:rFonts w:ascii="Arial" w:hAnsi="Arial" w:cs="Arial"/>
          <w:color w:val="77787B"/>
          <w:sz w:val="20"/>
          <w:szCs w:val="20"/>
        </w:rPr>
        <w:t>is low</w:t>
      </w:r>
      <w:r w:rsidRPr="00890738">
        <w:rPr>
          <w:rFonts w:ascii="Arial" w:hAnsi="Arial" w:cs="Arial"/>
          <w:color w:val="77787B"/>
          <w:sz w:val="20"/>
          <w:szCs w:val="20"/>
        </w:rPr>
        <w:t xml:space="preserve">, then supplementation is started. Other centers start </w:t>
      </w:r>
      <w:r w:rsidR="00EB6BD9">
        <w:rPr>
          <w:rFonts w:ascii="Arial" w:hAnsi="Arial" w:cs="Arial"/>
          <w:color w:val="77787B"/>
          <w:sz w:val="20"/>
          <w:szCs w:val="20"/>
        </w:rPr>
        <w:lastRenderedPageBreak/>
        <w:t xml:space="preserve">ESAs </w:t>
      </w:r>
      <w:r w:rsidRPr="00890738">
        <w:rPr>
          <w:rFonts w:ascii="Arial" w:hAnsi="Arial" w:cs="Arial"/>
          <w:color w:val="77787B"/>
          <w:sz w:val="20"/>
          <w:szCs w:val="20"/>
        </w:rPr>
        <w:t>empirically based on the assumption of ongoing baseline hemolysis and need for transfusions. Once ESA started, one should carefully verify ESA dose-response</w:t>
      </w:r>
      <w:r w:rsidR="00EB6BD9">
        <w:rPr>
          <w:rFonts w:ascii="Arial" w:hAnsi="Arial" w:cs="Arial"/>
          <w:color w:val="77787B"/>
          <w:sz w:val="20"/>
          <w:szCs w:val="20"/>
        </w:rPr>
        <w:t>,</w:t>
      </w:r>
      <w:r w:rsidRPr="00890738">
        <w:rPr>
          <w:rFonts w:ascii="Arial" w:hAnsi="Arial" w:cs="Arial"/>
          <w:color w:val="77787B"/>
          <w:sz w:val="20"/>
          <w:szCs w:val="20"/>
        </w:rPr>
        <w:t xml:space="preserve"> potentially using rate of hemoglobin (Hgb) increase over time. If rapid increase in Hgb (ex: greater than 1g/dL in any 2-week period), </w:t>
      </w:r>
      <w:r w:rsidR="00EB6BD9">
        <w:rPr>
          <w:rFonts w:ascii="Arial" w:hAnsi="Arial" w:cs="Arial"/>
          <w:color w:val="77787B"/>
          <w:sz w:val="20"/>
          <w:szCs w:val="20"/>
        </w:rPr>
        <w:t xml:space="preserve">consider </w:t>
      </w:r>
      <w:r w:rsidR="00B97A0D" w:rsidRPr="00890738">
        <w:rPr>
          <w:rFonts w:ascii="Arial" w:hAnsi="Arial" w:cs="Arial"/>
          <w:color w:val="77787B"/>
          <w:sz w:val="20"/>
          <w:szCs w:val="20"/>
        </w:rPr>
        <w:t>decreas</w:t>
      </w:r>
      <w:r w:rsidR="00B97A0D">
        <w:rPr>
          <w:rFonts w:ascii="Arial" w:hAnsi="Arial" w:cs="Arial"/>
          <w:color w:val="77787B"/>
          <w:sz w:val="20"/>
          <w:szCs w:val="20"/>
        </w:rPr>
        <w:t>ing</w:t>
      </w:r>
      <w:r w:rsidR="00B97A0D" w:rsidRPr="00890738">
        <w:rPr>
          <w:rFonts w:ascii="Arial" w:hAnsi="Arial" w:cs="Arial"/>
          <w:color w:val="77787B"/>
          <w:sz w:val="20"/>
          <w:szCs w:val="20"/>
        </w:rPr>
        <w:t xml:space="preserve"> ESA</w:t>
      </w:r>
      <w:r w:rsidRPr="00890738">
        <w:rPr>
          <w:rFonts w:ascii="Arial" w:hAnsi="Arial" w:cs="Arial"/>
          <w:color w:val="77787B"/>
          <w:sz w:val="20"/>
          <w:szCs w:val="20"/>
        </w:rPr>
        <w:t xml:space="preserve"> dosing by 40-50%.</w:t>
      </w:r>
    </w:p>
    <w:p w14:paraId="5F62DEE8" w14:textId="77777777" w:rsidR="00BF25B6" w:rsidRPr="00890738" w:rsidRDefault="00BF25B6" w:rsidP="00C83DDD">
      <w:pPr>
        <w:ind w:left="540"/>
        <w:jc w:val="both"/>
        <w:rPr>
          <w:rFonts w:ascii="Arial" w:hAnsi="Arial" w:cs="Arial"/>
          <w:color w:val="77787B"/>
          <w:sz w:val="20"/>
          <w:szCs w:val="20"/>
        </w:rPr>
      </w:pPr>
      <w:r w:rsidRPr="00890738">
        <w:rPr>
          <w:rFonts w:ascii="Arial" w:hAnsi="Arial" w:cs="Arial"/>
          <w:color w:val="77787B"/>
          <w:sz w:val="20"/>
          <w:szCs w:val="20"/>
        </w:rPr>
        <w:t>Suggested ESAs and dosing:</w:t>
      </w:r>
    </w:p>
    <w:p w14:paraId="6F0E5474" w14:textId="77777777" w:rsidR="00BF25B6" w:rsidRPr="00890738" w:rsidRDefault="00BF25B6" w:rsidP="00B97A0D">
      <w:pPr>
        <w:pStyle w:val="ListParagraph"/>
        <w:numPr>
          <w:ilvl w:val="0"/>
          <w:numId w:val="34"/>
        </w:numPr>
        <w:jc w:val="both"/>
        <w:rPr>
          <w:rFonts w:ascii="Arial" w:hAnsi="Arial" w:cs="Arial"/>
          <w:color w:val="77787B"/>
          <w:sz w:val="20"/>
          <w:szCs w:val="20"/>
        </w:rPr>
      </w:pPr>
      <w:r w:rsidRPr="00890738">
        <w:rPr>
          <w:rFonts w:ascii="Arial" w:hAnsi="Arial" w:cs="Arial"/>
          <w:color w:val="77787B"/>
          <w:sz w:val="20"/>
          <w:szCs w:val="20"/>
        </w:rPr>
        <w:t xml:space="preserve">Epogen 50-100 Units/kg IV two to three times per week (MWF) </w:t>
      </w:r>
    </w:p>
    <w:p w14:paraId="13CACEBE" w14:textId="5FC1CDAF" w:rsidR="00BF25B6" w:rsidRPr="00890738" w:rsidRDefault="00C34B3D" w:rsidP="00B97A0D">
      <w:pPr>
        <w:pStyle w:val="ListParagraph"/>
        <w:numPr>
          <w:ilvl w:val="0"/>
          <w:numId w:val="34"/>
        </w:numPr>
        <w:jc w:val="both"/>
        <w:rPr>
          <w:rFonts w:ascii="Arial" w:hAnsi="Arial" w:cs="Arial"/>
          <w:color w:val="77787B"/>
          <w:sz w:val="20"/>
          <w:szCs w:val="20"/>
        </w:rPr>
      </w:pPr>
      <w:r w:rsidRPr="00890738">
        <w:rPr>
          <w:rFonts w:ascii="Arial" w:hAnsi="Arial" w:cs="Arial"/>
          <w:color w:val="77787B"/>
          <w:sz w:val="20"/>
          <w:szCs w:val="20"/>
        </w:rPr>
        <w:t>Darbepoetin</w:t>
      </w:r>
      <w:r w:rsidR="00BF25B6" w:rsidRPr="00890738">
        <w:rPr>
          <w:rFonts w:ascii="Arial" w:hAnsi="Arial" w:cs="Arial"/>
          <w:color w:val="77787B"/>
          <w:sz w:val="20"/>
          <w:szCs w:val="20"/>
        </w:rPr>
        <w:t xml:space="preserve"> 0.45-0.8 mcg/kg/dose IV weekly</w:t>
      </w:r>
    </w:p>
    <w:p w14:paraId="666A1860" w14:textId="77777777" w:rsidR="00BF25B6" w:rsidRPr="00890738" w:rsidRDefault="00BF25B6" w:rsidP="00BF25B6">
      <w:pPr>
        <w:pStyle w:val="ListParagraph"/>
        <w:ind w:left="1440"/>
        <w:jc w:val="both"/>
        <w:rPr>
          <w:rFonts w:ascii="Arial" w:hAnsi="Arial" w:cs="Arial"/>
          <w:color w:val="77787B"/>
          <w:sz w:val="20"/>
          <w:szCs w:val="20"/>
        </w:rPr>
      </w:pPr>
    </w:p>
    <w:p w14:paraId="0F361469" w14:textId="4B11E257" w:rsidR="00BF25B6" w:rsidRPr="00890738" w:rsidRDefault="00BF25B6" w:rsidP="00C83DDD">
      <w:pPr>
        <w:ind w:left="540"/>
        <w:jc w:val="both"/>
        <w:rPr>
          <w:rFonts w:ascii="Arial" w:hAnsi="Arial" w:cs="Arial"/>
          <w:color w:val="77787B"/>
          <w:sz w:val="20"/>
          <w:szCs w:val="20"/>
        </w:rPr>
      </w:pPr>
      <w:r w:rsidRPr="0009225E">
        <w:rPr>
          <w:rFonts w:ascii="Arial" w:hAnsi="Arial" w:cs="Arial"/>
          <w:b/>
          <w:bCs/>
          <w:color w:val="77787B"/>
          <w:sz w:val="20"/>
          <w:szCs w:val="20"/>
        </w:rPr>
        <w:t>Caution:</w:t>
      </w:r>
      <w:r w:rsidRPr="00890738">
        <w:rPr>
          <w:rFonts w:ascii="Arial" w:hAnsi="Arial" w:cs="Arial"/>
          <w:color w:val="77787B"/>
          <w:sz w:val="20"/>
          <w:szCs w:val="20"/>
        </w:rPr>
        <w:t xml:space="preserve"> Please monitor for thrombosis in the context of </w:t>
      </w:r>
      <w:r w:rsidRPr="00890738">
        <w:rPr>
          <w:rFonts w:ascii="Arial" w:hAnsi="Arial" w:cs="Arial"/>
          <w:color w:val="77787B"/>
          <w:sz w:val="20"/>
          <w:szCs w:val="20"/>
          <w:u w:val="single"/>
        </w:rPr>
        <w:t xml:space="preserve">ESA supplementation when platelet counts </w:t>
      </w:r>
      <w:r w:rsidR="001604A0" w:rsidRPr="00890738">
        <w:rPr>
          <w:rFonts w:ascii="Arial" w:hAnsi="Arial" w:cs="Arial"/>
          <w:color w:val="77787B"/>
          <w:sz w:val="20"/>
          <w:szCs w:val="20"/>
          <w:u w:val="single"/>
        </w:rPr>
        <w:t>increase</w:t>
      </w:r>
      <w:r w:rsidRPr="00890738">
        <w:rPr>
          <w:rFonts w:ascii="Arial" w:hAnsi="Arial" w:cs="Arial"/>
          <w:color w:val="77787B"/>
          <w:sz w:val="20"/>
          <w:szCs w:val="20"/>
          <w:u w:val="single"/>
        </w:rPr>
        <w:t xml:space="preserve"> over 450,000. Consider stopping ESA and resume once platelet counts below 300,000. Monitor for hemolysis</w:t>
      </w:r>
      <w:r w:rsidR="00EB6BD9">
        <w:rPr>
          <w:rFonts w:ascii="Arial" w:hAnsi="Arial" w:cs="Arial"/>
          <w:color w:val="77787B"/>
          <w:sz w:val="20"/>
          <w:szCs w:val="20"/>
          <w:u w:val="single"/>
        </w:rPr>
        <w:t xml:space="preserve"> throughout</w:t>
      </w:r>
      <w:r w:rsidR="00EB6BD9">
        <w:rPr>
          <w:rFonts w:ascii="Arial" w:hAnsi="Arial" w:cs="Arial"/>
          <w:color w:val="77787B"/>
          <w:sz w:val="20"/>
          <w:szCs w:val="20"/>
        </w:rPr>
        <w:t>.</w:t>
      </w:r>
      <w:r w:rsidR="00C34B3D">
        <w:rPr>
          <w:rFonts w:ascii="Arial" w:hAnsi="Arial" w:cs="Arial"/>
          <w:color w:val="77787B"/>
          <w:sz w:val="20"/>
          <w:szCs w:val="20"/>
        </w:rPr>
        <w:t xml:space="preserve"> Would also be cautious if on the ASA-sparing ACTION protocol for HeartMate3. </w:t>
      </w:r>
    </w:p>
    <w:p w14:paraId="28B9CB73" w14:textId="77777777" w:rsidR="00BF25B6" w:rsidRPr="00890738" w:rsidRDefault="00BF25B6" w:rsidP="00BF25B6">
      <w:pPr>
        <w:jc w:val="both"/>
        <w:rPr>
          <w:rFonts w:ascii="Arial" w:hAnsi="Arial" w:cs="Arial"/>
          <w:color w:val="77787B"/>
          <w:sz w:val="20"/>
          <w:szCs w:val="20"/>
        </w:rPr>
      </w:pPr>
    </w:p>
    <w:p w14:paraId="7ABEC34E" w14:textId="77777777" w:rsidR="00BF25B6" w:rsidRPr="00890738" w:rsidRDefault="00BF25B6" w:rsidP="00BF25B6">
      <w:pPr>
        <w:jc w:val="both"/>
        <w:rPr>
          <w:rFonts w:ascii="Arial" w:hAnsi="Arial" w:cs="Arial"/>
          <w:color w:val="77787B"/>
          <w:sz w:val="20"/>
          <w:szCs w:val="20"/>
        </w:rPr>
      </w:pPr>
    </w:p>
    <w:p w14:paraId="5A36B265" w14:textId="22BAFF4E" w:rsidR="001B23F1" w:rsidRDefault="001B23F1" w:rsidP="001B23F1">
      <w:pPr>
        <w:ind w:left="270" w:hanging="270"/>
        <w:jc w:val="both"/>
        <w:rPr>
          <w:rFonts w:ascii="Arial" w:hAnsi="Arial" w:cs="Arial"/>
          <w:color w:val="77787B"/>
          <w:sz w:val="20"/>
          <w:szCs w:val="20"/>
        </w:rPr>
      </w:pPr>
      <w:r>
        <w:rPr>
          <w:rFonts w:ascii="Arial" w:hAnsi="Arial" w:cs="Arial"/>
          <w:b/>
          <w:color w:val="578988"/>
          <w:spacing w:val="20"/>
          <w:sz w:val="20"/>
          <w:szCs w:val="20"/>
        </w:rPr>
        <w:t xml:space="preserve">4. </w:t>
      </w:r>
      <w:r w:rsidR="00BF25B6" w:rsidRPr="001B23F1">
        <w:rPr>
          <w:rFonts w:ascii="Arial" w:hAnsi="Arial" w:cs="Arial"/>
          <w:b/>
          <w:color w:val="578988"/>
          <w:spacing w:val="20"/>
          <w:sz w:val="20"/>
          <w:szCs w:val="20"/>
        </w:rPr>
        <w:t>Hemolysis tests: CBC, direct and indirect bilirubin, LDH, plasma free hemoglobin</w:t>
      </w:r>
      <w:r>
        <w:rPr>
          <w:rFonts w:ascii="Arial" w:hAnsi="Arial" w:cs="Arial"/>
          <w:b/>
          <w:color w:val="578988"/>
          <w:spacing w:val="20"/>
          <w:sz w:val="20"/>
          <w:szCs w:val="20"/>
        </w:rPr>
        <w:t>:</w:t>
      </w:r>
      <w:r w:rsidR="00BF25B6" w:rsidRPr="001B23F1">
        <w:rPr>
          <w:rFonts w:ascii="Arial" w:hAnsi="Arial" w:cs="Arial"/>
          <w:color w:val="77787B"/>
          <w:sz w:val="20"/>
          <w:szCs w:val="20"/>
        </w:rPr>
        <w:t xml:space="preserve"> </w:t>
      </w:r>
    </w:p>
    <w:p w14:paraId="035780F3" w14:textId="44B12073" w:rsidR="00BF25B6" w:rsidRPr="001B23F1" w:rsidRDefault="00BF25B6" w:rsidP="00C83DDD">
      <w:pPr>
        <w:ind w:left="540"/>
        <w:jc w:val="both"/>
        <w:rPr>
          <w:rFonts w:ascii="Arial" w:hAnsi="Arial" w:cs="Arial"/>
          <w:color w:val="77787B"/>
          <w:sz w:val="20"/>
          <w:szCs w:val="20"/>
        </w:rPr>
      </w:pPr>
      <w:r w:rsidRPr="001B23F1">
        <w:rPr>
          <w:rFonts w:ascii="Arial" w:hAnsi="Arial" w:cs="Arial"/>
          <w:color w:val="77787B"/>
          <w:sz w:val="20"/>
          <w:szCs w:val="20"/>
        </w:rPr>
        <w:t>These tests can be done periodically to monitor for hemolysis. Most patient hemolyze down to a nadir and then stop, which is usually in the range of a hematocrit of 25-35. Anecdotally, hemolysis complications have been more significant with single ventricle physiology patients.  Interventions may include:</w:t>
      </w:r>
    </w:p>
    <w:p w14:paraId="4EFA9642" w14:textId="7777777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Decrease diuresis and prevent hemoconcentration</w:t>
      </w:r>
    </w:p>
    <w:p w14:paraId="7E6353B7" w14:textId="7777777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 xml:space="preserve">Check for possibility of transfusion reaction </w:t>
      </w:r>
    </w:p>
    <w:p w14:paraId="438F8958" w14:textId="7777777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Check for immune mediated or cold-agglutin-mediated hemolysis due to medications or infections</w:t>
      </w:r>
    </w:p>
    <w:p w14:paraId="7494C42A" w14:textId="7777777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Rule out pump thrombosis</w:t>
      </w:r>
    </w:p>
    <w:p w14:paraId="0A367F3D" w14:textId="0FFAD6C0"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 xml:space="preserve">Trial of pulse steroids in inflammatory states </w:t>
      </w:r>
      <w:r w:rsidR="00464B9E" w:rsidRPr="001B23F1">
        <w:rPr>
          <w:rFonts w:ascii="Arial" w:hAnsi="Arial" w:cs="Arial"/>
          <w:color w:val="77787B"/>
          <w:sz w:val="20"/>
          <w:szCs w:val="20"/>
        </w:rPr>
        <w:t>and treat</w:t>
      </w:r>
      <w:r w:rsidRPr="001B23F1">
        <w:rPr>
          <w:rFonts w:ascii="Arial" w:hAnsi="Arial" w:cs="Arial"/>
          <w:color w:val="77787B"/>
          <w:sz w:val="20"/>
          <w:szCs w:val="20"/>
        </w:rPr>
        <w:t xml:space="preserve"> suspected </w:t>
      </w:r>
      <w:proofErr w:type="gramStart"/>
      <w:r w:rsidRPr="001B23F1">
        <w:rPr>
          <w:rFonts w:ascii="Arial" w:hAnsi="Arial" w:cs="Arial"/>
          <w:color w:val="77787B"/>
          <w:sz w:val="20"/>
          <w:szCs w:val="20"/>
        </w:rPr>
        <w:t>clots  (</w:t>
      </w:r>
      <w:proofErr w:type="gramEnd"/>
      <w:r w:rsidRPr="001B23F1">
        <w:rPr>
          <w:rFonts w:ascii="Arial" w:hAnsi="Arial" w:cs="Arial"/>
          <w:color w:val="77787B"/>
          <w:sz w:val="20"/>
          <w:szCs w:val="20"/>
        </w:rPr>
        <w:t>please refer to ACTION steroids harmonization document)</w:t>
      </w:r>
    </w:p>
    <w:p w14:paraId="67BC03ED" w14:textId="7777777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Ensure adequate afterload reduction to minimize turbulent flow and shear stress</w:t>
      </w:r>
    </w:p>
    <w:p w14:paraId="32EF80DA" w14:textId="7777777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 xml:space="preserve">If </w:t>
      </w:r>
      <w:proofErr w:type="spellStart"/>
      <w:r w:rsidRPr="001B23F1">
        <w:rPr>
          <w:rFonts w:ascii="Arial" w:hAnsi="Arial" w:cs="Arial"/>
          <w:color w:val="77787B"/>
          <w:sz w:val="20"/>
          <w:szCs w:val="20"/>
        </w:rPr>
        <w:t>paracorporeal</w:t>
      </w:r>
      <w:proofErr w:type="spellEnd"/>
      <w:r w:rsidRPr="001B23F1">
        <w:rPr>
          <w:rFonts w:ascii="Arial" w:hAnsi="Arial" w:cs="Arial"/>
          <w:color w:val="77787B"/>
          <w:sz w:val="20"/>
          <w:szCs w:val="20"/>
        </w:rPr>
        <w:t xml:space="preserve"> support: exchange pump to a larger pulsatile device, maintaining cardiac index with a lower ejection rate </w:t>
      </w:r>
    </w:p>
    <w:p w14:paraId="292EF84C" w14:textId="411C34C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 xml:space="preserve">Change to </w:t>
      </w:r>
      <w:r w:rsidR="00EB6BD9">
        <w:rPr>
          <w:rFonts w:ascii="Arial" w:hAnsi="Arial" w:cs="Arial"/>
          <w:color w:val="77787B"/>
          <w:sz w:val="20"/>
          <w:szCs w:val="20"/>
        </w:rPr>
        <w:t xml:space="preserve">a </w:t>
      </w:r>
      <w:r w:rsidRPr="001B23F1">
        <w:rPr>
          <w:rFonts w:ascii="Arial" w:hAnsi="Arial" w:cs="Arial"/>
          <w:color w:val="77787B"/>
          <w:sz w:val="20"/>
          <w:szCs w:val="20"/>
        </w:rPr>
        <w:t>continuous flow VAD</w:t>
      </w:r>
    </w:p>
    <w:p w14:paraId="09F851EE" w14:textId="7C2BC157" w:rsidR="00BF25B6" w:rsidRPr="001B23F1" w:rsidRDefault="00BF25B6" w:rsidP="00C34B3D">
      <w:pPr>
        <w:pStyle w:val="ListParagraph"/>
        <w:numPr>
          <w:ilvl w:val="0"/>
          <w:numId w:val="36"/>
        </w:numPr>
        <w:jc w:val="both"/>
        <w:rPr>
          <w:rFonts w:ascii="Arial" w:hAnsi="Arial" w:cs="Arial"/>
          <w:color w:val="77787B"/>
          <w:sz w:val="20"/>
          <w:szCs w:val="20"/>
        </w:rPr>
      </w:pPr>
      <w:r w:rsidRPr="001B23F1">
        <w:rPr>
          <w:rFonts w:ascii="Arial" w:hAnsi="Arial" w:cs="Arial"/>
          <w:color w:val="77787B"/>
          <w:sz w:val="20"/>
          <w:szCs w:val="20"/>
        </w:rPr>
        <w:t>Review cannulation technique and site.</w:t>
      </w:r>
      <w:r w:rsidR="006C40E3">
        <w:rPr>
          <w:rFonts w:ascii="Arial" w:hAnsi="Arial" w:cs="Arial"/>
          <w:color w:val="77787B"/>
          <w:sz w:val="20"/>
          <w:szCs w:val="20"/>
        </w:rPr>
        <w:t xml:space="preserve"> Consider checking grafts </w:t>
      </w:r>
      <w:r w:rsidR="00BF2901">
        <w:rPr>
          <w:rFonts w:ascii="Arial" w:hAnsi="Arial" w:cs="Arial"/>
          <w:color w:val="77787B"/>
          <w:sz w:val="20"/>
          <w:szCs w:val="20"/>
        </w:rPr>
        <w:t xml:space="preserve">with CT scan if appropriate. </w:t>
      </w:r>
    </w:p>
    <w:p w14:paraId="166BD488" w14:textId="77777777" w:rsidR="00BF25B6" w:rsidRPr="00890738" w:rsidRDefault="00BF25B6" w:rsidP="00BF25B6">
      <w:pPr>
        <w:jc w:val="both"/>
        <w:rPr>
          <w:rFonts w:ascii="Arial" w:hAnsi="Arial" w:cs="Arial"/>
          <w:color w:val="77787B"/>
          <w:sz w:val="20"/>
          <w:szCs w:val="20"/>
        </w:rPr>
      </w:pPr>
    </w:p>
    <w:p w14:paraId="41C51A4E" w14:textId="7CCAF824" w:rsidR="00BF25B6" w:rsidRPr="001B23F1" w:rsidRDefault="001B23F1" w:rsidP="001B23F1">
      <w:pPr>
        <w:jc w:val="both"/>
        <w:rPr>
          <w:rFonts w:ascii="Arial" w:hAnsi="Arial" w:cs="Arial"/>
          <w:b/>
          <w:color w:val="578988"/>
          <w:spacing w:val="20"/>
          <w:sz w:val="20"/>
          <w:szCs w:val="20"/>
        </w:rPr>
      </w:pPr>
      <w:r>
        <w:rPr>
          <w:rFonts w:ascii="Arial" w:hAnsi="Arial" w:cs="Arial"/>
          <w:b/>
          <w:color w:val="578988"/>
          <w:spacing w:val="20"/>
          <w:sz w:val="20"/>
          <w:szCs w:val="20"/>
        </w:rPr>
        <w:t xml:space="preserve">5. </w:t>
      </w:r>
      <w:r w:rsidR="00BF25B6" w:rsidRPr="001B23F1">
        <w:rPr>
          <w:rFonts w:ascii="Arial" w:hAnsi="Arial" w:cs="Arial"/>
          <w:b/>
          <w:color w:val="578988"/>
          <w:spacing w:val="20"/>
          <w:sz w:val="20"/>
          <w:szCs w:val="20"/>
        </w:rPr>
        <w:t xml:space="preserve">Judicious laboratory frequency </w:t>
      </w:r>
      <w:r w:rsidR="00BF25B6" w:rsidRPr="00C83DDD">
        <w:rPr>
          <w:rFonts w:ascii="Arial" w:hAnsi="Arial" w:cs="Arial"/>
          <w:color w:val="77787B"/>
          <w:sz w:val="20"/>
          <w:szCs w:val="20"/>
        </w:rPr>
        <w:t>(2 weeks post implant):</w:t>
      </w:r>
      <w:r w:rsidR="00BF25B6" w:rsidRPr="001B23F1">
        <w:rPr>
          <w:rFonts w:ascii="Arial" w:hAnsi="Arial" w:cs="Arial"/>
          <w:b/>
          <w:color w:val="578988"/>
          <w:spacing w:val="20"/>
          <w:sz w:val="20"/>
          <w:szCs w:val="20"/>
        </w:rPr>
        <w:t xml:space="preserve"> </w:t>
      </w:r>
    </w:p>
    <w:p w14:paraId="418F0551" w14:textId="77777777" w:rsidR="00BF25B6" w:rsidRPr="00890738" w:rsidRDefault="00BF25B6" w:rsidP="00C83DDD">
      <w:pPr>
        <w:pStyle w:val="ListParagraph"/>
        <w:ind w:left="540"/>
        <w:jc w:val="both"/>
        <w:rPr>
          <w:rFonts w:ascii="Arial" w:hAnsi="Arial" w:cs="Arial"/>
          <w:color w:val="77787B"/>
          <w:sz w:val="20"/>
          <w:szCs w:val="20"/>
        </w:rPr>
      </w:pPr>
      <w:r w:rsidRPr="00890738">
        <w:rPr>
          <w:rFonts w:ascii="Arial" w:hAnsi="Arial" w:cs="Arial"/>
          <w:color w:val="77787B"/>
          <w:sz w:val="20"/>
          <w:szCs w:val="20"/>
        </w:rPr>
        <w:t xml:space="preserve">When patient is stable, laboratory frequency can be adjusted to minimize blood loss by phlebotomy. </w:t>
      </w:r>
    </w:p>
    <w:p w14:paraId="26CBCC3E" w14:textId="733832B9" w:rsidR="00BF25B6" w:rsidRPr="00890738" w:rsidRDefault="00BF25B6" w:rsidP="00BF2901">
      <w:pPr>
        <w:pStyle w:val="ListParagraph"/>
        <w:numPr>
          <w:ilvl w:val="0"/>
          <w:numId w:val="37"/>
        </w:numPr>
        <w:jc w:val="both"/>
        <w:rPr>
          <w:rFonts w:ascii="Arial" w:hAnsi="Arial" w:cs="Arial"/>
          <w:color w:val="77787B"/>
          <w:sz w:val="20"/>
          <w:szCs w:val="20"/>
        </w:rPr>
      </w:pPr>
      <w:r w:rsidRPr="00890738">
        <w:rPr>
          <w:rFonts w:ascii="Arial" w:hAnsi="Arial" w:cs="Arial"/>
          <w:color w:val="77787B"/>
          <w:sz w:val="20"/>
          <w:szCs w:val="20"/>
        </w:rPr>
        <w:t>Cohort blood sampling to once or twice week</w:t>
      </w:r>
      <w:r w:rsidR="00EB6BD9">
        <w:rPr>
          <w:rFonts w:ascii="Arial" w:hAnsi="Arial" w:cs="Arial"/>
          <w:color w:val="77787B"/>
          <w:sz w:val="20"/>
          <w:szCs w:val="20"/>
        </w:rPr>
        <w:t>ly,</w:t>
      </w:r>
      <w:r w:rsidRPr="00890738">
        <w:rPr>
          <w:rFonts w:ascii="Arial" w:hAnsi="Arial" w:cs="Arial"/>
          <w:color w:val="77787B"/>
          <w:sz w:val="20"/>
          <w:szCs w:val="20"/>
        </w:rPr>
        <w:t xml:space="preserve"> if possible</w:t>
      </w:r>
      <w:r w:rsidR="00EB6BD9">
        <w:rPr>
          <w:rFonts w:ascii="Arial" w:hAnsi="Arial" w:cs="Arial"/>
          <w:color w:val="77787B"/>
          <w:sz w:val="20"/>
          <w:szCs w:val="20"/>
        </w:rPr>
        <w:t>,</w:t>
      </w:r>
      <w:r w:rsidRPr="00890738">
        <w:rPr>
          <w:rFonts w:ascii="Arial" w:hAnsi="Arial" w:cs="Arial"/>
          <w:color w:val="77787B"/>
          <w:sz w:val="20"/>
          <w:szCs w:val="20"/>
        </w:rPr>
        <w:t xml:space="preserve"> to minimize blood draws, with exception of your chosen method of anticoagulation (at discretion of institutional preference), such as monitoring for bivalirudin, heparin, or enoxaparin effect. </w:t>
      </w:r>
    </w:p>
    <w:p w14:paraId="73673BDD" w14:textId="77777777" w:rsidR="00BF25B6" w:rsidRPr="00890738" w:rsidRDefault="00BF25B6" w:rsidP="00BF2901">
      <w:pPr>
        <w:pStyle w:val="ListParagraph"/>
        <w:numPr>
          <w:ilvl w:val="0"/>
          <w:numId w:val="37"/>
        </w:numPr>
        <w:jc w:val="both"/>
        <w:rPr>
          <w:rFonts w:ascii="Arial" w:hAnsi="Arial" w:cs="Arial"/>
          <w:color w:val="77787B"/>
          <w:sz w:val="20"/>
          <w:szCs w:val="20"/>
        </w:rPr>
      </w:pPr>
      <w:r w:rsidRPr="00890738">
        <w:rPr>
          <w:rFonts w:ascii="Arial" w:hAnsi="Arial" w:cs="Arial"/>
          <w:color w:val="77787B"/>
          <w:sz w:val="20"/>
          <w:szCs w:val="20"/>
        </w:rPr>
        <w:t xml:space="preserve">Blood sampling techniques: if feasible, minimize waste of blood sampling by considering revising techniques, such as waste-free “push and pull” technique or point-of-care tests with nursing leadership. </w:t>
      </w:r>
    </w:p>
    <w:p w14:paraId="5A708937" w14:textId="77777777" w:rsidR="00BF25B6" w:rsidRPr="00890738" w:rsidRDefault="00BF25B6" w:rsidP="00BF2901">
      <w:pPr>
        <w:pStyle w:val="ListParagraph"/>
        <w:numPr>
          <w:ilvl w:val="0"/>
          <w:numId w:val="37"/>
        </w:numPr>
        <w:jc w:val="both"/>
        <w:rPr>
          <w:rFonts w:ascii="Arial" w:hAnsi="Arial" w:cs="Arial"/>
          <w:color w:val="77787B"/>
          <w:sz w:val="20"/>
          <w:szCs w:val="20"/>
        </w:rPr>
      </w:pPr>
      <w:r w:rsidRPr="00890738">
        <w:rPr>
          <w:rFonts w:ascii="Arial" w:hAnsi="Arial" w:cs="Arial"/>
          <w:color w:val="77787B"/>
          <w:sz w:val="20"/>
          <w:szCs w:val="20"/>
        </w:rPr>
        <w:t>Explore using pediatric minimum sample volumes per institutional practice and batch sampling to optimize sample usage</w:t>
      </w:r>
    </w:p>
    <w:p w14:paraId="2A4CED9B" w14:textId="50670F16" w:rsidR="00BF25B6" w:rsidRPr="00890738" w:rsidRDefault="00BF25B6" w:rsidP="00BF2901">
      <w:pPr>
        <w:pStyle w:val="ListParagraph"/>
        <w:numPr>
          <w:ilvl w:val="0"/>
          <w:numId w:val="37"/>
        </w:numPr>
        <w:jc w:val="both"/>
        <w:rPr>
          <w:rFonts w:ascii="Arial" w:hAnsi="Arial" w:cs="Arial"/>
          <w:color w:val="77787B"/>
          <w:sz w:val="20"/>
          <w:szCs w:val="20"/>
        </w:rPr>
      </w:pPr>
      <w:r w:rsidRPr="00890738">
        <w:rPr>
          <w:rFonts w:ascii="Arial" w:hAnsi="Arial" w:cs="Arial"/>
          <w:color w:val="77787B"/>
          <w:sz w:val="20"/>
          <w:szCs w:val="20"/>
        </w:rPr>
        <w:t xml:space="preserve">In case of “out of range” anticoagulation </w:t>
      </w:r>
      <w:r w:rsidR="00EB6BD9">
        <w:rPr>
          <w:rFonts w:ascii="Arial" w:hAnsi="Arial" w:cs="Arial"/>
          <w:color w:val="77787B"/>
          <w:sz w:val="20"/>
          <w:szCs w:val="20"/>
        </w:rPr>
        <w:t xml:space="preserve">goal </w:t>
      </w:r>
      <w:r w:rsidRPr="00890738">
        <w:rPr>
          <w:rFonts w:ascii="Arial" w:hAnsi="Arial" w:cs="Arial"/>
          <w:color w:val="77787B"/>
          <w:sz w:val="20"/>
          <w:szCs w:val="20"/>
        </w:rPr>
        <w:t xml:space="preserve">test results, institute a </w:t>
      </w:r>
      <w:r w:rsidR="00EB6BD9">
        <w:rPr>
          <w:rFonts w:ascii="Arial" w:hAnsi="Arial" w:cs="Arial"/>
          <w:color w:val="77787B"/>
          <w:sz w:val="20"/>
          <w:szCs w:val="20"/>
        </w:rPr>
        <w:t xml:space="preserve">practice </w:t>
      </w:r>
      <w:r w:rsidRPr="00890738">
        <w:rPr>
          <w:rFonts w:ascii="Arial" w:hAnsi="Arial" w:cs="Arial"/>
          <w:color w:val="77787B"/>
          <w:sz w:val="20"/>
          <w:szCs w:val="20"/>
        </w:rPr>
        <w:t xml:space="preserve">guideline with your local team (for example: early warning of established  “out of range” results, repeat sample with adequate technique, prevention of sampling contamination, STAT laboratory test execution) in the context of clinical assessment of the patient at bedside (ex: addition of </w:t>
      </w:r>
      <w:proofErr w:type="spellStart"/>
      <w:r w:rsidRPr="00890738">
        <w:rPr>
          <w:rFonts w:ascii="Arial" w:hAnsi="Arial" w:cs="Arial"/>
          <w:color w:val="77787B"/>
          <w:sz w:val="20"/>
          <w:szCs w:val="20"/>
        </w:rPr>
        <w:t>hepzyme</w:t>
      </w:r>
      <w:proofErr w:type="spellEnd"/>
      <w:r w:rsidRPr="00890738">
        <w:rPr>
          <w:rFonts w:ascii="Arial" w:hAnsi="Arial" w:cs="Arial"/>
          <w:color w:val="77787B"/>
          <w:sz w:val="20"/>
          <w:szCs w:val="20"/>
        </w:rPr>
        <w:t xml:space="preserve"> test to verify </w:t>
      </w:r>
      <w:proofErr w:type="spellStart"/>
      <w:r w:rsidRPr="00890738">
        <w:rPr>
          <w:rFonts w:ascii="Arial" w:hAnsi="Arial" w:cs="Arial"/>
          <w:color w:val="77787B"/>
          <w:sz w:val="20"/>
          <w:szCs w:val="20"/>
        </w:rPr>
        <w:t>aPTT</w:t>
      </w:r>
      <w:proofErr w:type="spellEnd"/>
      <w:r w:rsidRPr="00890738">
        <w:rPr>
          <w:rFonts w:ascii="Arial" w:hAnsi="Arial" w:cs="Arial"/>
          <w:color w:val="77787B"/>
          <w:sz w:val="20"/>
          <w:szCs w:val="20"/>
        </w:rPr>
        <w:t xml:space="preserve"> contamination by heparinized lines, reminders of timely testing for bivalirudin </w:t>
      </w:r>
      <w:proofErr w:type="spellStart"/>
      <w:r w:rsidRPr="00890738">
        <w:rPr>
          <w:rFonts w:ascii="Arial" w:hAnsi="Arial" w:cs="Arial"/>
          <w:color w:val="77787B"/>
          <w:sz w:val="20"/>
          <w:szCs w:val="20"/>
        </w:rPr>
        <w:t>aPTT</w:t>
      </w:r>
      <w:proofErr w:type="spellEnd"/>
      <w:r w:rsidRPr="00890738">
        <w:rPr>
          <w:rFonts w:ascii="Arial" w:hAnsi="Arial" w:cs="Arial"/>
          <w:color w:val="77787B"/>
          <w:sz w:val="20"/>
          <w:szCs w:val="20"/>
        </w:rPr>
        <w:t xml:space="preserve"> samples ).</w:t>
      </w:r>
    </w:p>
    <w:p w14:paraId="644418FD" w14:textId="77777777" w:rsidR="00BF25B6" w:rsidRPr="00890738" w:rsidRDefault="00BF25B6" w:rsidP="00BF25B6">
      <w:pPr>
        <w:jc w:val="both"/>
        <w:rPr>
          <w:rFonts w:ascii="Arial" w:hAnsi="Arial" w:cs="Arial"/>
          <w:color w:val="77787B"/>
          <w:sz w:val="20"/>
          <w:szCs w:val="20"/>
        </w:rPr>
      </w:pPr>
    </w:p>
    <w:p w14:paraId="237F9F44" w14:textId="4F3F008C" w:rsidR="00BF25B6" w:rsidRPr="00C83DDD" w:rsidRDefault="00C83DDD" w:rsidP="00C83DDD">
      <w:pPr>
        <w:jc w:val="both"/>
        <w:rPr>
          <w:rFonts w:ascii="Arial" w:hAnsi="Arial" w:cs="Arial"/>
          <w:b/>
          <w:color w:val="578988"/>
          <w:spacing w:val="20"/>
          <w:sz w:val="20"/>
          <w:szCs w:val="20"/>
        </w:rPr>
      </w:pPr>
      <w:r>
        <w:rPr>
          <w:rFonts w:ascii="Arial" w:hAnsi="Arial" w:cs="Arial"/>
          <w:b/>
          <w:color w:val="578988"/>
          <w:spacing w:val="20"/>
          <w:sz w:val="20"/>
          <w:szCs w:val="20"/>
        </w:rPr>
        <w:t xml:space="preserve">6. </w:t>
      </w:r>
      <w:r w:rsidR="00BF25B6" w:rsidRPr="00C83DDD">
        <w:rPr>
          <w:rFonts w:ascii="Arial" w:hAnsi="Arial" w:cs="Arial"/>
          <w:b/>
          <w:color w:val="578988"/>
          <w:spacing w:val="20"/>
          <w:sz w:val="20"/>
          <w:szCs w:val="20"/>
        </w:rPr>
        <w:t xml:space="preserve">Surveillance and treatment of bleeding:  </w:t>
      </w:r>
    </w:p>
    <w:p w14:paraId="720DC91E" w14:textId="77777777" w:rsidR="00BF25B6" w:rsidRPr="00C83DDD" w:rsidRDefault="00BF25B6" w:rsidP="007854C7">
      <w:pPr>
        <w:pStyle w:val="ListParagraph"/>
        <w:ind w:left="360"/>
        <w:jc w:val="both"/>
        <w:rPr>
          <w:rFonts w:ascii="Arial" w:hAnsi="Arial" w:cs="Arial"/>
          <w:color w:val="77787B"/>
          <w:sz w:val="20"/>
          <w:szCs w:val="20"/>
        </w:rPr>
      </w:pPr>
      <w:r w:rsidRPr="00C83DDD">
        <w:rPr>
          <w:rFonts w:ascii="Arial" w:hAnsi="Arial" w:cs="Arial"/>
          <w:color w:val="77787B"/>
          <w:sz w:val="20"/>
          <w:szCs w:val="20"/>
        </w:rPr>
        <w:t xml:space="preserve">Please refer to </w:t>
      </w:r>
      <w:r w:rsidRPr="00C83DDD">
        <w:rPr>
          <w:rFonts w:ascii="Arial" w:hAnsi="Arial" w:cs="Arial"/>
          <w:i/>
          <w:iCs/>
          <w:color w:val="77787B"/>
          <w:sz w:val="20"/>
          <w:szCs w:val="20"/>
        </w:rPr>
        <w:t>ACTION Bleeding protocol</w:t>
      </w:r>
      <w:r w:rsidRPr="00C83DDD">
        <w:rPr>
          <w:rFonts w:ascii="Arial" w:hAnsi="Arial" w:cs="Arial"/>
          <w:color w:val="77787B"/>
          <w:sz w:val="20"/>
          <w:szCs w:val="20"/>
        </w:rPr>
        <w:t>.</w:t>
      </w:r>
    </w:p>
    <w:p w14:paraId="15E986CD" w14:textId="77777777" w:rsidR="00BF25B6" w:rsidRPr="00C83DDD" w:rsidRDefault="00BF25B6" w:rsidP="007854C7">
      <w:pPr>
        <w:pStyle w:val="ListParagraph"/>
        <w:ind w:left="360"/>
        <w:jc w:val="both"/>
        <w:rPr>
          <w:rFonts w:ascii="Arial" w:hAnsi="Arial" w:cs="Arial"/>
          <w:color w:val="77787B"/>
          <w:sz w:val="20"/>
          <w:szCs w:val="20"/>
        </w:rPr>
      </w:pPr>
      <w:r w:rsidRPr="00C83DDD">
        <w:rPr>
          <w:rFonts w:ascii="Arial" w:hAnsi="Arial" w:cs="Arial"/>
          <w:color w:val="77787B"/>
          <w:sz w:val="20"/>
          <w:szCs w:val="20"/>
        </w:rPr>
        <w:t xml:space="preserve">If significant or major bleeding, consider investigation for innate or acquired factor related deficiencies and conditions, such as Factor V, Factor VII, von-Willebrand family, angiodysplasia, or arterio-venous malformations. </w:t>
      </w:r>
    </w:p>
    <w:p w14:paraId="3AE52689" w14:textId="77777777" w:rsidR="00BF25B6" w:rsidRPr="00C83DDD" w:rsidRDefault="00BF25B6" w:rsidP="007854C7">
      <w:pPr>
        <w:pStyle w:val="ListParagraph"/>
        <w:ind w:left="360"/>
        <w:jc w:val="both"/>
        <w:rPr>
          <w:rFonts w:ascii="Arial" w:hAnsi="Arial" w:cs="Arial"/>
          <w:color w:val="77787B"/>
          <w:sz w:val="20"/>
          <w:szCs w:val="20"/>
        </w:rPr>
      </w:pPr>
      <w:r w:rsidRPr="00C83DDD">
        <w:rPr>
          <w:rFonts w:ascii="Arial" w:hAnsi="Arial" w:cs="Arial"/>
          <w:color w:val="77787B"/>
          <w:sz w:val="20"/>
          <w:szCs w:val="20"/>
        </w:rPr>
        <w:lastRenderedPageBreak/>
        <w:t>Tests: consider more frequent surveillance of diagnostic studies and adequate anticoagulation accordingly. TEG or ROTEM could be a valuable surveillance tools for propensity of bleeding</w:t>
      </w:r>
    </w:p>
    <w:p w14:paraId="04043B3A" w14:textId="3D956BEF" w:rsidR="00BF25B6" w:rsidRPr="00C83DDD" w:rsidRDefault="00BF25B6" w:rsidP="007854C7">
      <w:pPr>
        <w:pStyle w:val="ListParagraph"/>
        <w:ind w:left="360"/>
        <w:jc w:val="both"/>
        <w:rPr>
          <w:rFonts w:ascii="Arial" w:hAnsi="Arial" w:cs="Arial"/>
          <w:color w:val="77787B"/>
          <w:sz w:val="20"/>
          <w:szCs w:val="20"/>
        </w:rPr>
      </w:pPr>
      <w:r w:rsidRPr="00C83DDD">
        <w:rPr>
          <w:rFonts w:ascii="Arial" w:hAnsi="Arial" w:cs="Arial"/>
          <w:color w:val="77787B"/>
          <w:sz w:val="20"/>
          <w:szCs w:val="20"/>
        </w:rPr>
        <w:t xml:space="preserve">(TEG: R&gt;20 or 25 min and MA&lt;40 mm; ROTEM INTEM CT &gt;300, HEPTEM CT &gt;210 sec, EXTEM A10 &lt;35 mm, FIBTEM A10 &lt;9 mm) and should be correlated in the context of other tests of heparin or bivalirudin effect and other clinical scenarios (example sepsis and DIC). </w:t>
      </w:r>
    </w:p>
    <w:p w14:paraId="3160D14D" w14:textId="4ACE9E4C" w:rsidR="00BF25B6" w:rsidRPr="00C83DDD" w:rsidRDefault="00BF25B6" w:rsidP="007854C7">
      <w:pPr>
        <w:pStyle w:val="ListParagraph"/>
        <w:ind w:left="360"/>
        <w:jc w:val="both"/>
        <w:rPr>
          <w:rFonts w:ascii="Arial" w:hAnsi="Arial" w:cs="Arial"/>
          <w:color w:val="77787B"/>
          <w:sz w:val="20"/>
          <w:szCs w:val="20"/>
        </w:rPr>
      </w:pPr>
      <w:r w:rsidRPr="00C83DDD">
        <w:rPr>
          <w:rFonts w:ascii="Arial" w:hAnsi="Arial" w:cs="Arial"/>
          <w:color w:val="77787B"/>
          <w:sz w:val="20"/>
          <w:szCs w:val="20"/>
        </w:rPr>
        <w:t xml:space="preserve">As per previous published literature TEG platelet mapping (TEG/PM) is not recommended to be used to guide antiplatelet therapy. Baseline TEG is only used to assess baseline values such as R and MA to give a more general guidance for anticoagulation and initiation of antiplatelet use. Once initiated antiplatelet are increased by protocol. </w:t>
      </w:r>
    </w:p>
    <w:p w14:paraId="6A4A3769" w14:textId="77777777" w:rsidR="00BF25B6" w:rsidRPr="00C83DDD" w:rsidRDefault="00BF25B6" w:rsidP="007854C7">
      <w:pPr>
        <w:pStyle w:val="ListParagraph"/>
        <w:ind w:left="360"/>
        <w:jc w:val="both"/>
        <w:rPr>
          <w:rFonts w:ascii="Arial" w:hAnsi="Arial" w:cs="Arial"/>
          <w:color w:val="77787B"/>
          <w:sz w:val="20"/>
          <w:szCs w:val="20"/>
        </w:rPr>
      </w:pPr>
    </w:p>
    <w:p w14:paraId="3C3C9914" w14:textId="77777777" w:rsidR="00BF25B6" w:rsidRPr="00C83DDD" w:rsidRDefault="00BF25B6" w:rsidP="007854C7">
      <w:pPr>
        <w:pStyle w:val="ListParagraph"/>
        <w:ind w:left="360"/>
        <w:jc w:val="both"/>
        <w:rPr>
          <w:rFonts w:ascii="Arial" w:hAnsi="Arial" w:cs="Arial"/>
          <w:color w:val="77787B"/>
          <w:sz w:val="20"/>
          <w:szCs w:val="20"/>
        </w:rPr>
      </w:pPr>
      <w:r w:rsidRPr="00BF2901">
        <w:rPr>
          <w:rFonts w:ascii="Arial" w:hAnsi="Arial" w:cs="Arial"/>
          <w:b/>
          <w:bCs/>
          <w:color w:val="77787B"/>
          <w:sz w:val="20"/>
          <w:szCs w:val="20"/>
        </w:rPr>
        <w:t>Treatment:</w:t>
      </w:r>
      <w:r w:rsidRPr="537F4CA4">
        <w:rPr>
          <w:rFonts w:ascii="Arial" w:hAnsi="Arial" w:cs="Arial"/>
          <w:color w:val="77787B"/>
          <w:sz w:val="20"/>
          <w:szCs w:val="20"/>
        </w:rPr>
        <w:t xml:space="preserve"> consider revisiting anticoagulation goals and anti-platelets. Establish temporary transfusion thresholds during bleeding events according to severity.</w:t>
      </w:r>
    </w:p>
    <w:p w14:paraId="5A22C112" w14:textId="025851F4" w:rsidR="00F25D13" w:rsidRDefault="00F25D13" w:rsidP="00256B45">
      <w:pPr>
        <w:spacing w:line="240" w:lineRule="exact"/>
        <w:rPr>
          <w:rFonts w:ascii="Arial" w:hAnsi="Arial" w:cs="Arial"/>
          <w:b/>
          <w:color w:val="578988"/>
          <w:spacing w:val="20"/>
          <w:sz w:val="18"/>
          <w:szCs w:val="18"/>
        </w:rPr>
      </w:pPr>
    </w:p>
    <w:p w14:paraId="0255A782"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68A1CFC5" w14:textId="4E74AE01" w:rsidR="00256B45" w:rsidRPr="00AB17DD" w:rsidRDefault="00BF25B6" w:rsidP="00BF25B6">
      <w:pPr>
        <w:jc w:val="both"/>
        <w:rPr>
          <w:rFonts w:ascii="Arial" w:hAnsi="Arial" w:cs="Arial"/>
          <w:color w:val="77787B"/>
          <w:sz w:val="16"/>
          <w:szCs w:val="16"/>
        </w:rPr>
      </w:pPr>
      <w:r w:rsidRPr="00AB17DD">
        <w:rPr>
          <w:rFonts w:ascii="Arial" w:hAnsi="Arial" w:cs="Arial"/>
          <w:color w:val="77787B"/>
          <w:sz w:val="16"/>
          <w:szCs w:val="16"/>
        </w:rPr>
        <w:t>Desiree Machado</w:t>
      </w:r>
      <w:r w:rsidRPr="00AB17DD">
        <w:rPr>
          <w:rFonts w:ascii="Arial" w:hAnsi="Arial" w:cs="Arial"/>
          <w:color w:val="77787B"/>
          <w:sz w:val="16"/>
          <w:szCs w:val="16"/>
          <w:vertAlign w:val="superscript"/>
        </w:rPr>
        <w:t>1</w:t>
      </w:r>
      <w:r w:rsidRPr="00AB17DD">
        <w:rPr>
          <w:rFonts w:ascii="Arial" w:hAnsi="Arial" w:cs="Arial"/>
          <w:color w:val="77787B"/>
          <w:sz w:val="16"/>
          <w:szCs w:val="16"/>
        </w:rPr>
        <w:t>, MD, Wendy Barras</w:t>
      </w:r>
      <w:r w:rsidRPr="00AB17DD">
        <w:rPr>
          <w:rFonts w:ascii="Arial" w:hAnsi="Arial" w:cs="Arial"/>
          <w:color w:val="77787B"/>
          <w:sz w:val="16"/>
          <w:szCs w:val="16"/>
          <w:vertAlign w:val="superscript"/>
        </w:rPr>
        <w:t>1</w:t>
      </w:r>
      <w:r w:rsidRPr="00AB17DD">
        <w:rPr>
          <w:rFonts w:ascii="Arial" w:hAnsi="Arial" w:cs="Arial"/>
          <w:color w:val="77787B"/>
          <w:sz w:val="16"/>
          <w:szCs w:val="16"/>
        </w:rPr>
        <w:t>, NNP, Laura D’Addese</w:t>
      </w:r>
      <w:r w:rsidRPr="00AB17DD">
        <w:rPr>
          <w:rFonts w:ascii="Arial" w:hAnsi="Arial" w:cs="Arial"/>
          <w:color w:val="77787B"/>
          <w:sz w:val="16"/>
          <w:szCs w:val="16"/>
          <w:vertAlign w:val="superscript"/>
        </w:rPr>
        <w:t>2</w:t>
      </w:r>
      <w:r w:rsidRPr="00AB17DD">
        <w:rPr>
          <w:rFonts w:ascii="Arial" w:hAnsi="Arial" w:cs="Arial"/>
          <w:color w:val="77787B"/>
          <w:sz w:val="16"/>
          <w:szCs w:val="16"/>
        </w:rPr>
        <w:t>, MD, Anna Joong</w:t>
      </w:r>
      <w:r w:rsidRPr="00AB17DD">
        <w:rPr>
          <w:rFonts w:ascii="Arial" w:hAnsi="Arial" w:cs="Arial"/>
          <w:color w:val="77787B"/>
          <w:sz w:val="16"/>
          <w:szCs w:val="16"/>
          <w:vertAlign w:val="superscript"/>
        </w:rPr>
        <w:t>3</w:t>
      </w:r>
      <w:r w:rsidRPr="00AB17DD">
        <w:rPr>
          <w:rFonts w:ascii="Arial" w:hAnsi="Arial" w:cs="Arial"/>
          <w:color w:val="77787B"/>
          <w:sz w:val="16"/>
          <w:szCs w:val="16"/>
        </w:rPr>
        <w:t>, MD, Michelle Ploutz</w:t>
      </w:r>
      <w:r w:rsidRPr="00AB17DD">
        <w:rPr>
          <w:rFonts w:ascii="Arial" w:hAnsi="Arial" w:cs="Arial"/>
          <w:color w:val="77787B"/>
          <w:sz w:val="16"/>
          <w:szCs w:val="16"/>
          <w:vertAlign w:val="superscript"/>
        </w:rPr>
        <w:t>4</w:t>
      </w:r>
      <w:r w:rsidRPr="00AB17DD">
        <w:rPr>
          <w:rFonts w:ascii="Arial" w:hAnsi="Arial" w:cs="Arial"/>
          <w:color w:val="77787B"/>
          <w:sz w:val="16"/>
          <w:szCs w:val="16"/>
        </w:rPr>
        <w:t>, MD, Kristen Nelson McMillan</w:t>
      </w:r>
      <w:r w:rsidRPr="00AB17DD">
        <w:rPr>
          <w:rFonts w:ascii="Arial" w:hAnsi="Arial" w:cs="Arial"/>
          <w:color w:val="77787B"/>
          <w:sz w:val="16"/>
          <w:szCs w:val="16"/>
          <w:vertAlign w:val="superscript"/>
        </w:rPr>
        <w:t>5</w:t>
      </w:r>
      <w:r w:rsidRPr="00AB17DD">
        <w:rPr>
          <w:rFonts w:ascii="Arial" w:hAnsi="Arial" w:cs="Arial"/>
          <w:color w:val="77787B"/>
          <w:sz w:val="16"/>
          <w:szCs w:val="16"/>
        </w:rPr>
        <w:t>, MD, Marie Steiner, MD</w:t>
      </w:r>
      <w:proofErr w:type="gramStart"/>
      <w:r w:rsidRPr="00AB17DD">
        <w:rPr>
          <w:rFonts w:ascii="Arial" w:hAnsi="Arial" w:cs="Arial"/>
          <w:color w:val="77787B"/>
          <w:sz w:val="16"/>
          <w:szCs w:val="16"/>
          <w:vertAlign w:val="superscript"/>
        </w:rPr>
        <w:t xml:space="preserve">6 </w:t>
      </w:r>
      <w:r w:rsidRPr="00AB17DD">
        <w:rPr>
          <w:rFonts w:ascii="Arial" w:hAnsi="Arial" w:cs="Arial"/>
          <w:color w:val="77787B"/>
          <w:sz w:val="16"/>
          <w:szCs w:val="16"/>
        </w:rPr>
        <w:t>,</w:t>
      </w:r>
      <w:proofErr w:type="gramEnd"/>
      <w:r w:rsidRPr="00AB17DD">
        <w:rPr>
          <w:rFonts w:ascii="Arial" w:hAnsi="Arial" w:cs="Arial"/>
          <w:color w:val="77787B"/>
          <w:sz w:val="16"/>
          <w:szCs w:val="16"/>
        </w:rPr>
        <w:t xml:space="preserve"> Joseph Philip</w:t>
      </w:r>
      <w:r w:rsidRPr="00AB17DD">
        <w:rPr>
          <w:rFonts w:ascii="Arial" w:hAnsi="Arial" w:cs="Arial"/>
          <w:color w:val="77787B"/>
          <w:sz w:val="16"/>
          <w:szCs w:val="16"/>
          <w:vertAlign w:val="superscript"/>
        </w:rPr>
        <w:t>1</w:t>
      </w:r>
      <w:r w:rsidRPr="00AB17DD">
        <w:rPr>
          <w:rFonts w:ascii="Arial" w:hAnsi="Arial" w:cs="Arial"/>
          <w:color w:val="77787B"/>
          <w:sz w:val="16"/>
          <w:szCs w:val="16"/>
        </w:rPr>
        <w:t>, MD</w:t>
      </w:r>
    </w:p>
    <w:p w14:paraId="1FA32BBD" w14:textId="77777777" w:rsidR="00AB17DD" w:rsidRDefault="00AB17DD" w:rsidP="00256B45">
      <w:pPr>
        <w:spacing w:line="240" w:lineRule="exact"/>
        <w:rPr>
          <w:rFonts w:ascii="Arial" w:hAnsi="Arial" w:cs="Arial"/>
          <w:b/>
          <w:color w:val="578988"/>
          <w:spacing w:val="20"/>
          <w:sz w:val="18"/>
          <w:szCs w:val="18"/>
        </w:rPr>
      </w:pPr>
    </w:p>
    <w:p w14:paraId="22AC946E" w14:textId="67B96565" w:rsid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0384BF8D" w14:textId="77777777" w:rsidR="003F1783" w:rsidRDefault="00BF25B6" w:rsidP="007854C7">
      <w:pPr>
        <w:pStyle w:val="ListParagraph"/>
        <w:numPr>
          <w:ilvl w:val="0"/>
          <w:numId w:val="32"/>
        </w:numPr>
        <w:ind w:left="630"/>
        <w:jc w:val="both"/>
        <w:rPr>
          <w:rFonts w:ascii="Arial" w:hAnsi="Arial" w:cs="Arial"/>
          <w:color w:val="77787B"/>
          <w:sz w:val="16"/>
          <w:szCs w:val="16"/>
        </w:rPr>
      </w:pPr>
      <w:r w:rsidRPr="003F1783">
        <w:rPr>
          <w:rFonts w:ascii="Arial" w:hAnsi="Arial" w:cs="Arial"/>
          <w:color w:val="77787B"/>
          <w:sz w:val="16"/>
          <w:szCs w:val="16"/>
        </w:rPr>
        <w:t>Congenital Heart Center, Shands Hospital, University of Florida, Gainesville, Florida</w:t>
      </w:r>
    </w:p>
    <w:p w14:paraId="0F1F7065" w14:textId="77777777" w:rsidR="003F1783" w:rsidRDefault="003F1783" w:rsidP="007854C7">
      <w:pPr>
        <w:pStyle w:val="ListParagraph"/>
        <w:numPr>
          <w:ilvl w:val="0"/>
          <w:numId w:val="32"/>
        </w:numPr>
        <w:ind w:left="630"/>
        <w:jc w:val="both"/>
        <w:rPr>
          <w:rFonts w:ascii="Arial" w:hAnsi="Arial" w:cs="Arial"/>
          <w:color w:val="77787B"/>
          <w:sz w:val="16"/>
          <w:szCs w:val="16"/>
        </w:rPr>
      </w:pPr>
      <w:r w:rsidRPr="003F1783">
        <w:rPr>
          <w:rFonts w:ascii="Arial" w:hAnsi="Arial" w:cs="Arial"/>
          <w:color w:val="77787B"/>
          <w:sz w:val="16"/>
          <w:szCs w:val="16"/>
        </w:rPr>
        <w:t>J</w:t>
      </w:r>
      <w:r w:rsidR="00BF25B6" w:rsidRPr="003F1783">
        <w:rPr>
          <w:rFonts w:ascii="Arial" w:hAnsi="Arial" w:cs="Arial"/>
          <w:color w:val="77787B"/>
          <w:sz w:val="16"/>
          <w:szCs w:val="16"/>
        </w:rPr>
        <w:t>oe DiMaggio Children’s Hospital, Hollywood, Florida</w:t>
      </w:r>
    </w:p>
    <w:p w14:paraId="09EB9E66" w14:textId="77777777" w:rsidR="003F1783" w:rsidRDefault="00BF25B6" w:rsidP="007854C7">
      <w:pPr>
        <w:pStyle w:val="ListParagraph"/>
        <w:numPr>
          <w:ilvl w:val="0"/>
          <w:numId w:val="32"/>
        </w:numPr>
        <w:ind w:left="630"/>
        <w:jc w:val="both"/>
        <w:rPr>
          <w:rFonts w:ascii="Arial" w:hAnsi="Arial" w:cs="Arial"/>
          <w:color w:val="77787B"/>
          <w:sz w:val="16"/>
          <w:szCs w:val="16"/>
        </w:rPr>
      </w:pPr>
      <w:r w:rsidRPr="003F1783">
        <w:rPr>
          <w:rFonts w:ascii="Arial" w:hAnsi="Arial" w:cs="Arial"/>
          <w:color w:val="77787B"/>
          <w:sz w:val="16"/>
          <w:szCs w:val="16"/>
        </w:rPr>
        <w:t>Ann &amp; Robert H. Lurie, Children’s Hospital of Chicago, Chicago, Illinois</w:t>
      </w:r>
    </w:p>
    <w:p w14:paraId="1F062EDF" w14:textId="77777777" w:rsidR="003F1783" w:rsidRDefault="00BF25B6" w:rsidP="007854C7">
      <w:pPr>
        <w:pStyle w:val="ListParagraph"/>
        <w:numPr>
          <w:ilvl w:val="0"/>
          <w:numId w:val="32"/>
        </w:numPr>
        <w:ind w:left="630"/>
        <w:jc w:val="both"/>
        <w:rPr>
          <w:rFonts w:ascii="Arial" w:hAnsi="Arial" w:cs="Arial"/>
          <w:color w:val="77787B"/>
          <w:sz w:val="16"/>
          <w:szCs w:val="16"/>
        </w:rPr>
      </w:pPr>
      <w:r w:rsidRPr="003F1783">
        <w:rPr>
          <w:rFonts w:ascii="Arial" w:hAnsi="Arial" w:cs="Arial"/>
          <w:color w:val="77787B"/>
          <w:sz w:val="16"/>
          <w:szCs w:val="16"/>
        </w:rPr>
        <w:t>University of Utah, Salt Lake City, Utah</w:t>
      </w:r>
    </w:p>
    <w:p w14:paraId="00F6860E" w14:textId="77777777" w:rsidR="003F1783" w:rsidRDefault="00BF25B6" w:rsidP="007854C7">
      <w:pPr>
        <w:pStyle w:val="ListParagraph"/>
        <w:numPr>
          <w:ilvl w:val="0"/>
          <w:numId w:val="32"/>
        </w:numPr>
        <w:ind w:left="630"/>
        <w:jc w:val="both"/>
        <w:rPr>
          <w:rFonts w:ascii="Arial" w:hAnsi="Arial" w:cs="Arial"/>
          <w:color w:val="77787B"/>
          <w:sz w:val="16"/>
          <w:szCs w:val="16"/>
        </w:rPr>
      </w:pPr>
      <w:r w:rsidRPr="003F1783">
        <w:rPr>
          <w:rFonts w:ascii="Arial" w:hAnsi="Arial" w:cs="Arial"/>
          <w:color w:val="77787B"/>
          <w:sz w:val="16"/>
          <w:szCs w:val="16"/>
        </w:rPr>
        <w:t>University of Chicago, Chicago, Illinois</w:t>
      </w:r>
    </w:p>
    <w:p w14:paraId="2E4217F4" w14:textId="0C24F5CE" w:rsidR="00BF25B6" w:rsidRPr="003F1783" w:rsidRDefault="00BF25B6" w:rsidP="007854C7">
      <w:pPr>
        <w:pStyle w:val="ListParagraph"/>
        <w:numPr>
          <w:ilvl w:val="0"/>
          <w:numId w:val="32"/>
        </w:numPr>
        <w:ind w:left="630"/>
        <w:jc w:val="both"/>
        <w:rPr>
          <w:rFonts w:ascii="Arial" w:hAnsi="Arial" w:cs="Arial"/>
          <w:color w:val="77787B"/>
          <w:sz w:val="16"/>
          <w:szCs w:val="16"/>
        </w:rPr>
      </w:pPr>
      <w:r w:rsidRPr="003F1783">
        <w:rPr>
          <w:rFonts w:ascii="Arial" w:hAnsi="Arial" w:cs="Arial"/>
          <w:color w:val="77787B"/>
          <w:sz w:val="16"/>
          <w:szCs w:val="16"/>
        </w:rPr>
        <w:t>University of Minnesota, Minneapolis, MN</w:t>
      </w:r>
    </w:p>
    <w:p w14:paraId="5C6F7394" w14:textId="389DB73E" w:rsidR="00FB32D1" w:rsidRPr="00890738" w:rsidRDefault="00FB32D1" w:rsidP="00256B45">
      <w:pPr>
        <w:spacing w:line="240" w:lineRule="exact"/>
        <w:rPr>
          <w:rFonts w:ascii="Arial" w:hAnsi="Arial" w:cs="Arial"/>
          <w:color w:val="77787B"/>
          <w:sz w:val="16"/>
          <w:szCs w:val="16"/>
        </w:rPr>
      </w:pPr>
    </w:p>
    <w:p w14:paraId="6C2366F7" w14:textId="04CE4B9F"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AC637F">
        <w:rPr>
          <w:rFonts w:ascii="Arial" w:hAnsi="Arial" w:cs="Arial"/>
          <w:i/>
          <w:color w:val="6C6C6C"/>
          <w:sz w:val="16"/>
          <w:szCs w:val="16"/>
        </w:rPr>
        <w:t>are</w:t>
      </w:r>
      <w:proofErr w:type="gramEnd"/>
      <w:r w:rsidR="00AC637F" w:rsidRPr="00AC637F">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BF25B6">
        <w:rPr>
          <w:rFonts w:ascii="Arial" w:hAnsi="Arial" w:cs="Arial"/>
          <w:i/>
          <w:color w:val="6C6C6C"/>
          <w:sz w:val="16"/>
          <w:szCs w:val="16"/>
        </w:rPr>
        <w:t>0</w:t>
      </w:r>
      <w:r w:rsidR="00BD5CB7">
        <w:rPr>
          <w:rFonts w:ascii="Arial" w:hAnsi="Arial" w:cs="Arial"/>
          <w:i/>
          <w:color w:val="6C6C6C"/>
          <w:sz w:val="16"/>
          <w:szCs w:val="16"/>
        </w:rPr>
        <w:t>1</w:t>
      </w:r>
      <w:r w:rsidR="00BF25B6">
        <w:rPr>
          <w:rFonts w:ascii="Arial" w:hAnsi="Arial" w:cs="Arial"/>
          <w:i/>
          <w:color w:val="6C6C6C"/>
          <w:sz w:val="16"/>
          <w:szCs w:val="16"/>
        </w:rPr>
        <w:t>/0</w:t>
      </w:r>
      <w:r w:rsidR="00BD5CB7">
        <w:rPr>
          <w:rFonts w:ascii="Arial" w:hAnsi="Arial" w:cs="Arial"/>
          <w:i/>
          <w:color w:val="6C6C6C"/>
          <w:sz w:val="16"/>
          <w:szCs w:val="16"/>
        </w:rPr>
        <w:t>6</w:t>
      </w:r>
      <w:r w:rsidR="00BF25B6">
        <w:rPr>
          <w:rFonts w:ascii="Arial" w:hAnsi="Arial" w:cs="Arial"/>
          <w:i/>
          <w:color w:val="6C6C6C"/>
          <w:sz w:val="16"/>
          <w:szCs w:val="16"/>
        </w:rPr>
        <w:t>/2021</w:t>
      </w:r>
      <w:r w:rsidR="0033498B">
        <w:rPr>
          <w:rFonts w:ascii="Arial" w:hAnsi="Arial" w:cs="Arial"/>
          <w:i/>
          <w:color w:val="6C6C6C"/>
          <w:sz w:val="16"/>
          <w:szCs w:val="16"/>
        </w:rPr>
        <w:t>)</w:t>
      </w:r>
    </w:p>
    <w:p w14:paraId="30DA1893" w14:textId="0469131B" w:rsidR="00256B45" w:rsidRDefault="00256B45" w:rsidP="00256B45">
      <w:pPr>
        <w:spacing w:line="240" w:lineRule="exact"/>
        <w:rPr>
          <w:rFonts w:ascii="Arial" w:hAnsi="Arial" w:cs="Arial"/>
          <w:color w:val="6C6C6C"/>
          <w:sz w:val="16"/>
          <w:szCs w:val="16"/>
        </w:rPr>
      </w:pPr>
    </w:p>
    <w:p w14:paraId="4E0EAA08" w14:textId="78C16BEB" w:rsidR="00BF25B6" w:rsidRPr="00890738" w:rsidRDefault="00BF25B6" w:rsidP="00256B45">
      <w:pPr>
        <w:spacing w:line="240" w:lineRule="exact"/>
        <w:rPr>
          <w:rFonts w:ascii="Arial" w:hAnsi="Arial" w:cs="Arial"/>
          <w:b/>
          <w:color w:val="578988"/>
          <w:spacing w:val="20"/>
          <w:sz w:val="18"/>
          <w:szCs w:val="18"/>
        </w:rPr>
      </w:pPr>
      <w:r w:rsidRPr="00890738">
        <w:rPr>
          <w:rFonts w:ascii="Arial" w:hAnsi="Arial" w:cs="Arial"/>
          <w:b/>
          <w:color w:val="578988"/>
          <w:spacing w:val="20"/>
          <w:sz w:val="18"/>
          <w:szCs w:val="18"/>
        </w:rPr>
        <w:t>Reference</w:t>
      </w:r>
      <w:r w:rsidR="007854C7">
        <w:rPr>
          <w:rFonts w:ascii="Arial" w:hAnsi="Arial" w:cs="Arial"/>
          <w:b/>
          <w:color w:val="578988"/>
          <w:spacing w:val="20"/>
          <w:sz w:val="18"/>
          <w:szCs w:val="18"/>
        </w:rPr>
        <w:t>s</w:t>
      </w:r>
      <w:r w:rsidRPr="00890738">
        <w:rPr>
          <w:rFonts w:ascii="Arial" w:hAnsi="Arial" w:cs="Arial"/>
          <w:b/>
          <w:color w:val="578988"/>
          <w:spacing w:val="20"/>
          <w:sz w:val="18"/>
          <w:szCs w:val="18"/>
        </w:rPr>
        <w:t xml:space="preserve">  </w:t>
      </w:r>
    </w:p>
    <w:p w14:paraId="0387A1D9"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shd w:val="clear" w:color="auto" w:fill="FFFFFF"/>
        </w:rPr>
        <w:t xml:space="preserve">von </w:t>
      </w:r>
      <w:proofErr w:type="spellStart"/>
      <w:r w:rsidRPr="00AB17DD">
        <w:rPr>
          <w:rFonts w:ascii="Arial" w:hAnsi="Arial" w:cs="Arial"/>
          <w:color w:val="77787B"/>
          <w:sz w:val="16"/>
          <w:szCs w:val="16"/>
          <w:shd w:val="clear" w:color="auto" w:fill="FFFFFF"/>
        </w:rPr>
        <w:t>Haehling</w:t>
      </w:r>
      <w:proofErr w:type="spellEnd"/>
      <w:r w:rsidRPr="00AB17DD">
        <w:rPr>
          <w:rFonts w:ascii="Arial" w:hAnsi="Arial" w:cs="Arial"/>
          <w:color w:val="77787B"/>
          <w:sz w:val="16"/>
          <w:szCs w:val="16"/>
          <w:shd w:val="clear" w:color="auto" w:fill="FFFFFF"/>
        </w:rPr>
        <w:t xml:space="preserve"> S, Ebner N, </w:t>
      </w:r>
      <w:proofErr w:type="spellStart"/>
      <w:r w:rsidRPr="00AB17DD">
        <w:rPr>
          <w:rFonts w:ascii="Arial" w:hAnsi="Arial" w:cs="Arial"/>
          <w:color w:val="77787B"/>
          <w:sz w:val="16"/>
          <w:szCs w:val="16"/>
          <w:shd w:val="clear" w:color="auto" w:fill="FFFFFF"/>
        </w:rPr>
        <w:t>Evertz</w:t>
      </w:r>
      <w:proofErr w:type="spellEnd"/>
      <w:r w:rsidRPr="00AB17DD">
        <w:rPr>
          <w:rFonts w:ascii="Arial" w:hAnsi="Arial" w:cs="Arial"/>
          <w:color w:val="77787B"/>
          <w:sz w:val="16"/>
          <w:szCs w:val="16"/>
          <w:shd w:val="clear" w:color="auto" w:fill="FFFFFF"/>
        </w:rPr>
        <w:t xml:space="preserve"> R, </w:t>
      </w:r>
      <w:proofErr w:type="spellStart"/>
      <w:r w:rsidRPr="00AB17DD">
        <w:rPr>
          <w:rFonts w:ascii="Arial" w:hAnsi="Arial" w:cs="Arial"/>
          <w:color w:val="77787B"/>
          <w:sz w:val="16"/>
          <w:szCs w:val="16"/>
          <w:shd w:val="clear" w:color="auto" w:fill="FFFFFF"/>
        </w:rPr>
        <w:t>Ponikowski</w:t>
      </w:r>
      <w:proofErr w:type="spellEnd"/>
      <w:r w:rsidRPr="00AB17DD">
        <w:rPr>
          <w:rFonts w:ascii="Arial" w:hAnsi="Arial" w:cs="Arial"/>
          <w:color w:val="77787B"/>
          <w:sz w:val="16"/>
          <w:szCs w:val="16"/>
          <w:shd w:val="clear" w:color="auto" w:fill="FFFFFF"/>
        </w:rPr>
        <w:t xml:space="preserve"> P, Anker SD. Iron deficiency in heart failure: an overview. JACC: Heart Failure. 2019 Jan 1;7(1):36-46.</w:t>
      </w:r>
    </w:p>
    <w:p w14:paraId="0558A20E" w14:textId="77777777" w:rsidR="00BF25B6" w:rsidRPr="00AB17DD" w:rsidRDefault="00BF25B6" w:rsidP="007854C7">
      <w:pPr>
        <w:pStyle w:val="ListParagraph"/>
        <w:ind w:left="630"/>
        <w:rPr>
          <w:rFonts w:ascii="Arial" w:hAnsi="Arial" w:cs="Arial"/>
          <w:color w:val="77787B"/>
          <w:sz w:val="16"/>
          <w:szCs w:val="16"/>
        </w:rPr>
      </w:pPr>
    </w:p>
    <w:p w14:paraId="344DAA9C"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eastAsia="Times New Roman" w:hAnsi="Arial" w:cs="Arial"/>
          <w:color w:val="77787B"/>
          <w:sz w:val="16"/>
          <w:szCs w:val="16"/>
          <w:shd w:val="clear" w:color="auto" w:fill="FFFFFF"/>
        </w:rPr>
        <w:t xml:space="preserve">Stone ML, </w:t>
      </w:r>
      <w:proofErr w:type="spellStart"/>
      <w:r w:rsidRPr="00AB17DD">
        <w:rPr>
          <w:rFonts w:ascii="Arial" w:eastAsia="Times New Roman" w:hAnsi="Arial" w:cs="Arial"/>
          <w:color w:val="77787B"/>
          <w:sz w:val="16"/>
          <w:szCs w:val="16"/>
          <w:shd w:val="clear" w:color="auto" w:fill="FFFFFF"/>
        </w:rPr>
        <w:t>LaPar</w:t>
      </w:r>
      <w:proofErr w:type="spellEnd"/>
      <w:r w:rsidRPr="00AB17DD">
        <w:rPr>
          <w:rFonts w:ascii="Arial" w:eastAsia="Times New Roman" w:hAnsi="Arial" w:cs="Arial"/>
          <w:color w:val="77787B"/>
          <w:sz w:val="16"/>
          <w:szCs w:val="16"/>
          <w:shd w:val="clear" w:color="auto" w:fill="FFFFFF"/>
        </w:rPr>
        <w:t xml:space="preserve"> DJ, </w:t>
      </w:r>
      <w:proofErr w:type="spellStart"/>
      <w:r w:rsidRPr="00AB17DD">
        <w:rPr>
          <w:rFonts w:ascii="Arial" w:eastAsia="Times New Roman" w:hAnsi="Arial" w:cs="Arial"/>
          <w:color w:val="77787B"/>
          <w:sz w:val="16"/>
          <w:szCs w:val="16"/>
          <w:shd w:val="clear" w:color="auto" w:fill="FFFFFF"/>
        </w:rPr>
        <w:t>Benrashid</w:t>
      </w:r>
      <w:proofErr w:type="spellEnd"/>
      <w:r w:rsidRPr="00AB17DD">
        <w:rPr>
          <w:rFonts w:ascii="Arial" w:eastAsia="Times New Roman" w:hAnsi="Arial" w:cs="Arial"/>
          <w:color w:val="77787B"/>
          <w:sz w:val="16"/>
          <w:szCs w:val="16"/>
          <w:shd w:val="clear" w:color="auto" w:fill="FFFFFF"/>
        </w:rPr>
        <w:t xml:space="preserve"> E, </w:t>
      </w:r>
      <w:proofErr w:type="spellStart"/>
      <w:r w:rsidRPr="00AB17DD">
        <w:rPr>
          <w:rFonts w:ascii="Arial" w:eastAsia="Times New Roman" w:hAnsi="Arial" w:cs="Arial"/>
          <w:color w:val="77787B"/>
          <w:sz w:val="16"/>
          <w:szCs w:val="16"/>
          <w:shd w:val="clear" w:color="auto" w:fill="FFFFFF"/>
        </w:rPr>
        <w:t>Scalzo</w:t>
      </w:r>
      <w:proofErr w:type="spellEnd"/>
      <w:r w:rsidRPr="00AB17DD">
        <w:rPr>
          <w:rFonts w:ascii="Arial" w:eastAsia="Times New Roman" w:hAnsi="Arial" w:cs="Arial"/>
          <w:color w:val="77787B"/>
          <w:sz w:val="16"/>
          <w:szCs w:val="16"/>
          <w:shd w:val="clear" w:color="auto" w:fill="FFFFFF"/>
        </w:rPr>
        <w:t xml:space="preserve"> DC, Ailawadi G, Kron IL, Bergin JD, Blank RS, Kern JA. Ventricular assist devices and increased blood product utilization for cardiac transplantation. Journal of cardiac surgery. 2015 Feb;30(2):194-200</w:t>
      </w:r>
    </w:p>
    <w:p w14:paraId="2296ED01" w14:textId="77777777" w:rsidR="00BF25B6" w:rsidRPr="00AB17DD" w:rsidRDefault="00BF25B6" w:rsidP="007854C7">
      <w:pPr>
        <w:ind w:left="630"/>
        <w:rPr>
          <w:rFonts w:ascii="Arial" w:hAnsi="Arial" w:cs="Arial"/>
          <w:color w:val="77787B"/>
          <w:sz w:val="16"/>
          <w:szCs w:val="16"/>
          <w:vertAlign w:val="superscript"/>
        </w:rPr>
      </w:pPr>
    </w:p>
    <w:p w14:paraId="130EFA09" w14:textId="77777777" w:rsidR="00BF25B6" w:rsidRPr="00AB17DD" w:rsidRDefault="00BF25B6" w:rsidP="007854C7">
      <w:pPr>
        <w:pStyle w:val="ListParagraph"/>
        <w:numPr>
          <w:ilvl w:val="0"/>
          <w:numId w:val="31"/>
        </w:numPr>
        <w:ind w:left="630"/>
        <w:rPr>
          <w:rFonts w:ascii="Arial" w:eastAsia="Times New Roman" w:hAnsi="Arial" w:cs="Arial"/>
          <w:color w:val="77787B"/>
          <w:sz w:val="16"/>
          <w:szCs w:val="16"/>
        </w:rPr>
      </w:pPr>
      <w:r w:rsidRPr="00AB17DD">
        <w:rPr>
          <w:rFonts w:ascii="Arial" w:eastAsia="Times New Roman" w:hAnsi="Arial" w:cs="Arial"/>
          <w:color w:val="77787B"/>
          <w:sz w:val="16"/>
          <w:szCs w:val="16"/>
          <w:shd w:val="clear" w:color="auto" w:fill="FFFFFF"/>
        </w:rPr>
        <w:t xml:space="preserve">Sun W, </w:t>
      </w:r>
      <w:proofErr w:type="spellStart"/>
      <w:r w:rsidRPr="00AB17DD">
        <w:rPr>
          <w:rFonts w:ascii="Arial" w:eastAsia="Times New Roman" w:hAnsi="Arial" w:cs="Arial"/>
          <w:color w:val="77787B"/>
          <w:sz w:val="16"/>
          <w:szCs w:val="16"/>
          <w:shd w:val="clear" w:color="auto" w:fill="FFFFFF"/>
        </w:rPr>
        <w:t>Jeleniowski</w:t>
      </w:r>
      <w:proofErr w:type="spellEnd"/>
      <w:r w:rsidRPr="00AB17DD">
        <w:rPr>
          <w:rFonts w:ascii="Arial" w:eastAsia="Times New Roman" w:hAnsi="Arial" w:cs="Arial"/>
          <w:color w:val="77787B"/>
          <w:sz w:val="16"/>
          <w:szCs w:val="16"/>
          <w:shd w:val="clear" w:color="auto" w:fill="FFFFFF"/>
        </w:rPr>
        <w:t xml:space="preserve"> K, Zhao X, Shen P, Li D, Hammond JA. </w:t>
      </w:r>
      <w:proofErr w:type="spellStart"/>
      <w:r w:rsidRPr="00AB17DD">
        <w:rPr>
          <w:rFonts w:ascii="Arial" w:eastAsia="Times New Roman" w:hAnsi="Arial" w:cs="Arial"/>
          <w:color w:val="77787B"/>
          <w:sz w:val="16"/>
          <w:szCs w:val="16"/>
          <w:shd w:val="clear" w:color="auto" w:fill="FFFFFF"/>
        </w:rPr>
        <w:t>Thromboelastography</w:t>
      </w:r>
      <w:proofErr w:type="spellEnd"/>
      <w:r w:rsidRPr="00AB17DD">
        <w:rPr>
          <w:rFonts w:ascii="Arial" w:eastAsia="Times New Roman" w:hAnsi="Arial" w:cs="Arial"/>
          <w:color w:val="77787B"/>
          <w:sz w:val="16"/>
          <w:szCs w:val="16"/>
          <w:shd w:val="clear" w:color="auto" w:fill="FFFFFF"/>
        </w:rPr>
        <w:t xml:space="preserve"> (TEG)</w:t>
      </w:r>
      <w:r w:rsidRPr="00AB17DD">
        <w:rPr>
          <w:rFonts w:ascii="Cambria Math" w:eastAsia="Times New Roman" w:hAnsi="Cambria Math" w:cs="Cambria Math"/>
          <w:color w:val="77787B"/>
          <w:sz w:val="16"/>
          <w:szCs w:val="16"/>
          <w:shd w:val="clear" w:color="auto" w:fill="FFFFFF"/>
        </w:rPr>
        <w:t>‐</w:t>
      </w:r>
      <w:r w:rsidRPr="00AB17DD">
        <w:rPr>
          <w:rFonts w:ascii="Arial" w:eastAsia="Times New Roman" w:hAnsi="Arial" w:cs="Arial"/>
          <w:color w:val="77787B"/>
          <w:sz w:val="16"/>
          <w:szCs w:val="16"/>
          <w:shd w:val="clear" w:color="auto" w:fill="FFFFFF"/>
        </w:rPr>
        <w:t>Based Algorithm Reduces Blood Product Utilization in Patients Undergoing VAD Implant. Journal of Cardiac Surgery: Including Mechanical and Biological Support for the Heart and Lungs. 2014 Mar;29(2):238-43.</w:t>
      </w:r>
    </w:p>
    <w:p w14:paraId="409AE75D" w14:textId="77777777" w:rsidR="00BF25B6" w:rsidRPr="00AB17DD" w:rsidRDefault="00BF25B6" w:rsidP="007854C7">
      <w:pPr>
        <w:ind w:left="630"/>
        <w:jc w:val="both"/>
        <w:rPr>
          <w:rFonts w:ascii="Arial" w:hAnsi="Arial" w:cs="Arial"/>
          <w:color w:val="77787B"/>
          <w:sz w:val="16"/>
          <w:szCs w:val="16"/>
        </w:rPr>
      </w:pPr>
    </w:p>
    <w:p w14:paraId="11AAA830"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shd w:val="clear" w:color="auto" w:fill="FFFFFF"/>
        </w:rPr>
        <w:t xml:space="preserve">Coppage M, Baker M, Fialkow L, Meehan D, Gettings K, Chen L, Massey HT, Blumberg N. Lack of significant de novo HLA </w:t>
      </w:r>
      <w:proofErr w:type="spellStart"/>
      <w:r w:rsidRPr="00AB17DD">
        <w:rPr>
          <w:rFonts w:ascii="Arial" w:hAnsi="Arial" w:cs="Arial"/>
          <w:color w:val="77787B"/>
          <w:sz w:val="16"/>
          <w:szCs w:val="16"/>
          <w:shd w:val="clear" w:color="auto" w:fill="FFFFFF"/>
        </w:rPr>
        <w:t>allosensitization</w:t>
      </w:r>
      <w:proofErr w:type="spellEnd"/>
      <w:r w:rsidRPr="00AB17DD">
        <w:rPr>
          <w:rFonts w:ascii="Arial" w:hAnsi="Arial" w:cs="Arial"/>
          <w:color w:val="77787B"/>
          <w:sz w:val="16"/>
          <w:szCs w:val="16"/>
          <w:shd w:val="clear" w:color="auto" w:fill="FFFFFF"/>
        </w:rPr>
        <w:t xml:space="preserve"> in ventricular assist device recipients transfused with </w:t>
      </w:r>
      <w:proofErr w:type="spellStart"/>
      <w:r w:rsidRPr="00AB17DD">
        <w:rPr>
          <w:rFonts w:ascii="Arial" w:hAnsi="Arial" w:cs="Arial"/>
          <w:color w:val="77787B"/>
          <w:sz w:val="16"/>
          <w:szCs w:val="16"/>
          <w:shd w:val="clear" w:color="auto" w:fill="FFFFFF"/>
        </w:rPr>
        <w:t>leukoreduced</w:t>
      </w:r>
      <w:proofErr w:type="spellEnd"/>
      <w:r w:rsidRPr="00AB17DD">
        <w:rPr>
          <w:rFonts w:ascii="Arial" w:hAnsi="Arial" w:cs="Arial"/>
          <w:color w:val="77787B"/>
          <w:sz w:val="16"/>
          <w:szCs w:val="16"/>
          <w:shd w:val="clear" w:color="auto" w:fill="FFFFFF"/>
        </w:rPr>
        <w:t>, ABO identical blood products. Human immunology. 2009 Jun 1;70(6):413-6.</w:t>
      </w:r>
    </w:p>
    <w:p w14:paraId="5B030543" w14:textId="77777777" w:rsidR="00BF25B6" w:rsidRPr="00AB17DD" w:rsidRDefault="00BF25B6" w:rsidP="007854C7">
      <w:pPr>
        <w:pStyle w:val="ListParagraph"/>
        <w:ind w:left="630"/>
        <w:rPr>
          <w:rFonts w:ascii="Arial" w:hAnsi="Arial" w:cs="Arial"/>
          <w:color w:val="77787B"/>
          <w:sz w:val="16"/>
          <w:szCs w:val="16"/>
        </w:rPr>
      </w:pPr>
    </w:p>
    <w:p w14:paraId="1DEDD4A7"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shd w:val="clear" w:color="auto" w:fill="FFFFFF"/>
        </w:rPr>
        <w:t xml:space="preserve">Nassif ME, Patel JS, Shuster JE, Raymer DS, </w:t>
      </w:r>
      <w:proofErr w:type="spellStart"/>
      <w:r w:rsidRPr="00AB17DD">
        <w:rPr>
          <w:rFonts w:ascii="Arial" w:hAnsi="Arial" w:cs="Arial"/>
          <w:color w:val="77787B"/>
          <w:sz w:val="16"/>
          <w:szCs w:val="16"/>
          <w:shd w:val="clear" w:color="auto" w:fill="FFFFFF"/>
        </w:rPr>
        <w:t>Jackups</w:t>
      </w:r>
      <w:proofErr w:type="spellEnd"/>
      <w:r w:rsidRPr="00AB17DD">
        <w:rPr>
          <w:rFonts w:ascii="Arial" w:hAnsi="Arial" w:cs="Arial"/>
          <w:color w:val="77787B"/>
          <w:sz w:val="16"/>
          <w:szCs w:val="16"/>
          <w:shd w:val="clear" w:color="auto" w:fill="FFFFFF"/>
        </w:rPr>
        <w:t xml:space="preserve"> R, Novak E, Gage BF, Prasad S, Silvestry SC, Ewald GA, LaRue SJ. Clinical outcomes with use of erythropoiesis stimulating agents in patients with the HeartMate II left ventricular assist device. JACC: Heart Failure. 2015 Feb 1;3(2):146-53</w:t>
      </w:r>
    </w:p>
    <w:p w14:paraId="4803C111" w14:textId="77777777" w:rsidR="00BF25B6" w:rsidRPr="00AB17DD" w:rsidRDefault="00BF25B6" w:rsidP="007854C7">
      <w:pPr>
        <w:pStyle w:val="ListParagraph"/>
        <w:ind w:left="630"/>
        <w:jc w:val="both"/>
        <w:rPr>
          <w:rFonts w:ascii="Arial" w:hAnsi="Arial" w:cs="Arial"/>
          <w:color w:val="77787B"/>
          <w:sz w:val="16"/>
          <w:szCs w:val="16"/>
        </w:rPr>
      </w:pPr>
    </w:p>
    <w:p w14:paraId="53127E12"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shd w:val="clear" w:color="auto" w:fill="FFFFFF"/>
        </w:rPr>
        <w:t xml:space="preserve">Puri K, Jeewa A, Adachi I, </w:t>
      </w:r>
      <w:proofErr w:type="spellStart"/>
      <w:r w:rsidRPr="00AB17DD">
        <w:rPr>
          <w:rFonts w:ascii="Arial" w:hAnsi="Arial" w:cs="Arial"/>
          <w:color w:val="77787B"/>
          <w:sz w:val="16"/>
          <w:szCs w:val="16"/>
          <w:shd w:val="clear" w:color="auto" w:fill="FFFFFF"/>
        </w:rPr>
        <w:t>Denfield</w:t>
      </w:r>
      <w:proofErr w:type="spellEnd"/>
      <w:r w:rsidRPr="00AB17DD">
        <w:rPr>
          <w:rFonts w:ascii="Arial" w:hAnsi="Arial" w:cs="Arial"/>
          <w:color w:val="77787B"/>
          <w:sz w:val="16"/>
          <w:szCs w:val="16"/>
          <w:shd w:val="clear" w:color="auto" w:fill="FFFFFF"/>
        </w:rPr>
        <w:t xml:space="preserve"> SW, Cabrera AG, Price JF, Humlicek TJ, Burki S, Dreyer WJ, Shah MD. Prevalence of anemia and iron deficiency in pediatric patients on ventricular assist devices. </w:t>
      </w:r>
      <w:proofErr w:type="spellStart"/>
      <w:r w:rsidRPr="00AB17DD">
        <w:rPr>
          <w:rFonts w:ascii="Arial" w:hAnsi="Arial" w:cs="Arial"/>
          <w:color w:val="77787B"/>
          <w:sz w:val="16"/>
          <w:szCs w:val="16"/>
          <w:shd w:val="clear" w:color="auto" w:fill="FFFFFF"/>
        </w:rPr>
        <w:t>Asaio</w:t>
      </w:r>
      <w:proofErr w:type="spellEnd"/>
      <w:r w:rsidRPr="00AB17DD">
        <w:rPr>
          <w:rFonts w:ascii="Arial" w:hAnsi="Arial" w:cs="Arial"/>
          <w:color w:val="77787B"/>
          <w:sz w:val="16"/>
          <w:szCs w:val="16"/>
          <w:shd w:val="clear" w:color="auto" w:fill="FFFFFF"/>
        </w:rPr>
        <w:t xml:space="preserve"> Journal. 2018 Nov 1;64(6):795-801.</w:t>
      </w:r>
    </w:p>
    <w:p w14:paraId="077B4AAA" w14:textId="77777777" w:rsidR="00BF25B6" w:rsidRPr="00AB17DD" w:rsidRDefault="00BF25B6" w:rsidP="007854C7">
      <w:pPr>
        <w:pStyle w:val="ListParagraph"/>
        <w:ind w:left="630"/>
        <w:rPr>
          <w:rFonts w:ascii="Arial" w:hAnsi="Arial" w:cs="Arial"/>
          <w:color w:val="77787B"/>
          <w:sz w:val="16"/>
          <w:szCs w:val="16"/>
          <w:shd w:val="clear" w:color="auto" w:fill="FFFFFF"/>
        </w:rPr>
      </w:pPr>
    </w:p>
    <w:p w14:paraId="1FEC123C" w14:textId="77777777" w:rsidR="00BF25B6" w:rsidRPr="00AB17DD" w:rsidRDefault="00BF25B6" w:rsidP="007854C7">
      <w:pPr>
        <w:pStyle w:val="ListParagraph"/>
        <w:numPr>
          <w:ilvl w:val="0"/>
          <w:numId w:val="31"/>
        </w:numPr>
        <w:ind w:left="630"/>
        <w:rPr>
          <w:rFonts w:ascii="Arial" w:hAnsi="Arial" w:cs="Arial"/>
          <w:color w:val="77787B"/>
          <w:sz w:val="16"/>
          <w:szCs w:val="16"/>
        </w:rPr>
      </w:pPr>
      <w:proofErr w:type="spellStart"/>
      <w:r w:rsidRPr="00AB17DD">
        <w:rPr>
          <w:rFonts w:ascii="Arial" w:hAnsi="Arial" w:cs="Arial"/>
          <w:color w:val="77787B"/>
          <w:sz w:val="16"/>
          <w:szCs w:val="16"/>
          <w:shd w:val="clear" w:color="auto" w:fill="FFFFFF"/>
        </w:rPr>
        <w:t>Amione</w:t>
      </w:r>
      <w:proofErr w:type="spellEnd"/>
      <w:r w:rsidRPr="00AB17DD">
        <w:rPr>
          <w:rFonts w:ascii="Arial" w:hAnsi="Arial" w:cs="Arial"/>
          <w:color w:val="77787B"/>
          <w:sz w:val="16"/>
          <w:szCs w:val="16"/>
          <w:shd w:val="clear" w:color="auto" w:fill="FFFFFF"/>
        </w:rPr>
        <w:t>-Guerra J, Cruz-</w:t>
      </w:r>
      <w:proofErr w:type="spellStart"/>
      <w:r w:rsidRPr="00AB17DD">
        <w:rPr>
          <w:rFonts w:ascii="Arial" w:hAnsi="Arial" w:cs="Arial"/>
          <w:color w:val="77787B"/>
          <w:sz w:val="16"/>
          <w:szCs w:val="16"/>
          <w:shd w:val="clear" w:color="auto" w:fill="FFFFFF"/>
        </w:rPr>
        <w:t>Solbes</w:t>
      </w:r>
      <w:proofErr w:type="spellEnd"/>
      <w:r w:rsidRPr="00AB17DD">
        <w:rPr>
          <w:rFonts w:ascii="Arial" w:hAnsi="Arial" w:cs="Arial"/>
          <w:color w:val="77787B"/>
          <w:sz w:val="16"/>
          <w:szCs w:val="16"/>
          <w:shd w:val="clear" w:color="auto" w:fill="FFFFFF"/>
        </w:rPr>
        <w:t xml:space="preserve"> AS, </w:t>
      </w:r>
      <w:proofErr w:type="spellStart"/>
      <w:r w:rsidRPr="00AB17DD">
        <w:rPr>
          <w:rFonts w:ascii="Arial" w:hAnsi="Arial" w:cs="Arial"/>
          <w:color w:val="77787B"/>
          <w:sz w:val="16"/>
          <w:szCs w:val="16"/>
          <w:shd w:val="clear" w:color="auto" w:fill="FFFFFF"/>
        </w:rPr>
        <w:t>Bhimaraj</w:t>
      </w:r>
      <w:proofErr w:type="spellEnd"/>
      <w:r w:rsidRPr="00AB17DD">
        <w:rPr>
          <w:rFonts w:ascii="Arial" w:hAnsi="Arial" w:cs="Arial"/>
          <w:color w:val="77787B"/>
          <w:sz w:val="16"/>
          <w:szCs w:val="16"/>
          <w:shd w:val="clear" w:color="auto" w:fill="FFFFFF"/>
        </w:rPr>
        <w:t xml:space="preserve"> A, Trachtenberg BH, Pingali SR, Estep JD, Park MH, Guha A. Anemia after continuous-flow left ventricular assist device implantation: Characteristics and implications. The International Journal of Artificial Organs. 2017 Sep;40(9):481-8.</w:t>
      </w:r>
    </w:p>
    <w:p w14:paraId="3E843D4C" w14:textId="77777777" w:rsidR="00BF25B6" w:rsidRPr="00AB17DD" w:rsidRDefault="00BF25B6" w:rsidP="007854C7">
      <w:pPr>
        <w:ind w:left="630"/>
        <w:rPr>
          <w:rFonts w:ascii="Arial" w:hAnsi="Arial" w:cs="Arial"/>
          <w:color w:val="77787B"/>
          <w:sz w:val="16"/>
          <w:szCs w:val="16"/>
        </w:rPr>
      </w:pPr>
    </w:p>
    <w:p w14:paraId="72305A9B"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McBride, </w:t>
      </w:r>
      <w:proofErr w:type="spellStart"/>
      <w:r w:rsidRPr="00AB17DD">
        <w:rPr>
          <w:rFonts w:ascii="Arial" w:hAnsi="Arial" w:cs="Arial"/>
          <w:color w:val="77787B"/>
          <w:sz w:val="16"/>
          <w:szCs w:val="16"/>
        </w:rPr>
        <w:t>Ms</w:t>
      </w:r>
      <w:proofErr w:type="spellEnd"/>
      <w:r w:rsidRPr="00AB17DD">
        <w:rPr>
          <w:rFonts w:ascii="Arial" w:hAnsi="Arial" w:cs="Arial"/>
          <w:color w:val="77787B"/>
          <w:sz w:val="16"/>
          <w:szCs w:val="16"/>
        </w:rPr>
        <w:t xml:space="preserve"> Clare, Suzan Miller-Hoover, and </w:t>
      </w:r>
      <w:proofErr w:type="spellStart"/>
      <w:r w:rsidRPr="00AB17DD">
        <w:rPr>
          <w:rFonts w:ascii="Arial" w:hAnsi="Arial" w:cs="Arial"/>
          <w:color w:val="77787B"/>
          <w:sz w:val="16"/>
          <w:szCs w:val="16"/>
        </w:rPr>
        <w:t>Mr</w:t>
      </w:r>
      <w:proofErr w:type="spellEnd"/>
      <w:r w:rsidRPr="00AB17DD">
        <w:rPr>
          <w:rFonts w:ascii="Arial" w:hAnsi="Arial" w:cs="Arial"/>
          <w:color w:val="77787B"/>
          <w:sz w:val="16"/>
          <w:szCs w:val="16"/>
        </w:rPr>
        <w:t xml:space="preserve"> James A. Proudfoot. A Standard Push-Pull Protocol for Waste-Free Sampling in the </w:t>
      </w:r>
      <w:proofErr w:type="spellStart"/>
      <w:r w:rsidRPr="00AB17DD">
        <w:rPr>
          <w:rFonts w:ascii="Arial" w:hAnsi="Arial" w:cs="Arial"/>
          <w:color w:val="77787B"/>
          <w:sz w:val="16"/>
          <w:szCs w:val="16"/>
        </w:rPr>
        <w:t>PICU.</w:t>
      </w:r>
      <w:r w:rsidRPr="00AB17DD">
        <w:rPr>
          <w:rFonts w:ascii="Arial" w:hAnsi="Arial" w:cs="Arial"/>
          <w:i/>
          <w:iCs/>
          <w:color w:val="77787B"/>
          <w:sz w:val="16"/>
          <w:szCs w:val="16"/>
        </w:rPr>
        <w:t>Journal</w:t>
      </w:r>
      <w:proofErr w:type="spellEnd"/>
      <w:r w:rsidRPr="00AB17DD">
        <w:rPr>
          <w:rFonts w:ascii="Arial" w:hAnsi="Arial" w:cs="Arial"/>
          <w:i/>
          <w:iCs/>
          <w:color w:val="77787B"/>
          <w:sz w:val="16"/>
          <w:szCs w:val="16"/>
        </w:rPr>
        <w:t xml:space="preserve"> of infusion nursing: the official publication of the Infusion Nurses Society</w:t>
      </w:r>
      <w:r w:rsidRPr="00AB17DD">
        <w:rPr>
          <w:rFonts w:ascii="Arial" w:hAnsi="Arial" w:cs="Arial"/>
          <w:color w:val="77787B"/>
          <w:sz w:val="16"/>
          <w:szCs w:val="16"/>
        </w:rPr>
        <w:t xml:space="preserve"> 41, no. 3 (2018): 189 </w:t>
      </w:r>
    </w:p>
    <w:p w14:paraId="4410EFE2" w14:textId="77777777" w:rsidR="00BF25B6" w:rsidRPr="00AB17DD" w:rsidRDefault="00BF25B6" w:rsidP="007854C7">
      <w:pPr>
        <w:ind w:left="630"/>
        <w:rPr>
          <w:rFonts w:ascii="Arial" w:hAnsi="Arial" w:cs="Arial"/>
          <w:color w:val="77787B"/>
          <w:sz w:val="16"/>
          <w:szCs w:val="16"/>
        </w:rPr>
      </w:pPr>
    </w:p>
    <w:p w14:paraId="58CF8971"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Goel, Ruchika, Melissa M. Cushing, and Aaron AR Tobian. Pediatric patient </w:t>
      </w:r>
      <w:proofErr w:type="spellStart"/>
      <w:r w:rsidRPr="00AB17DD">
        <w:rPr>
          <w:rFonts w:ascii="Arial" w:hAnsi="Arial" w:cs="Arial"/>
          <w:color w:val="77787B"/>
          <w:sz w:val="16"/>
          <w:szCs w:val="16"/>
        </w:rPr>
        <w:t>bloodmanagement</w:t>
      </w:r>
      <w:proofErr w:type="spellEnd"/>
      <w:r w:rsidRPr="00AB17DD">
        <w:rPr>
          <w:rFonts w:ascii="Arial" w:hAnsi="Arial" w:cs="Arial"/>
          <w:color w:val="77787B"/>
          <w:sz w:val="16"/>
          <w:szCs w:val="16"/>
        </w:rPr>
        <w:t xml:space="preserve"> programs: Not just transfusing little adults. </w:t>
      </w:r>
      <w:r w:rsidRPr="00AB17DD">
        <w:rPr>
          <w:rFonts w:ascii="Arial" w:hAnsi="Arial" w:cs="Arial"/>
          <w:i/>
          <w:iCs/>
          <w:color w:val="77787B"/>
          <w:sz w:val="16"/>
          <w:szCs w:val="16"/>
        </w:rPr>
        <w:t>Transfusion medicine reviews</w:t>
      </w:r>
      <w:r w:rsidRPr="00AB17DD">
        <w:rPr>
          <w:rFonts w:ascii="Arial" w:hAnsi="Arial" w:cs="Arial"/>
          <w:color w:val="77787B"/>
          <w:sz w:val="16"/>
          <w:szCs w:val="16"/>
        </w:rPr>
        <w:t> 30, no. 4 (2016): 235-241.</w:t>
      </w:r>
      <w:r w:rsidRPr="00AB17DD">
        <w:rPr>
          <w:rFonts w:ascii="Arial" w:eastAsia="Times New Roman" w:hAnsi="Arial" w:cs="Arial"/>
          <w:color w:val="77787B"/>
          <w:sz w:val="16"/>
          <w:szCs w:val="16"/>
          <w:shd w:val="clear" w:color="auto" w:fill="FFFFFF"/>
        </w:rPr>
        <w:t xml:space="preserve"> </w:t>
      </w:r>
    </w:p>
    <w:p w14:paraId="2CD893D0" w14:textId="77777777" w:rsidR="00BF25B6" w:rsidRPr="00AB17DD" w:rsidRDefault="00BF25B6" w:rsidP="007854C7">
      <w:pPr>
        <w:ind w:left="630"/>
        <w:rPr>
          <w:rFonts w:ascii="Arial" w:hAnsi="Arial" w:cs="Arial"/>
          <w:color w:val="77787B"/>
          <w:sz w:val="16"/>
          <w:szCs w:val="16"/>
        </w:rPr>
      </w:pPr>
    </w:p>
    <w:p w14:paraId="0BAB4B49"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Lister, Paula, Mark J. Peters, and Andy J. Petros. Effects of blood sample volume on hematocrit in critically ill children and neonates. </w:t>
      </w:r>
      <w:r w:rsidRPr="00AB17DD">
        <w:rPr>
          <w:rFonts w:ascii="Arial" w:hAnsi="Arial" w:cs="Arial"/>
          <w:i/>
          <w:iCs/>
          <w:color w:val="77787B"/>
          <w:sz w:val="16"/>
          <w:szCs w:val="16"/>
        </w:rPr>
        <w:t>Pediatric Anesthesia</w:t>
      </w:r>
      <w:r w:rsidRPr="00AB17DD">
        <w:rPr>
          <w:rFonts w:ascii="Arial" w:hAnsi="Arial" w:cs="Arial"/>
          <w:color w:val="77787B"/>
          <w:sz w:val="16"/>
          <w:szCs w:val="16"/>
        </w:rPr>
        <w:t> 18, no. 5 (2008): 420-425.</w:t>
      </w:r>
    </w:p>
    <w:p w14:paraId="4573F640" w14:textId="77777777" w:rsidR="00BF25B6" w:rsidRPr="00AB17DD" w:rsidRDefault="00BF25B6" w:rsidP="007854C7">
      <w:pPr>
        <w:pStyle w:val="ListParagraph"/>
        <w:ind w:left="630"/>
        <w:rPr>
          <w:rFonts w:ascii="Arial" w:hAnsi="Arial" w:cs="Arial"/>
          <w:color w:val="77787B"/>
          <w:sz w:val="16"/>
          <w:szCs w:val="16"/>
        </w:rPr>
      </w:pPr>
    </w:p>
    <w:p w14:paraId="2A6330C4" w14:textId="77777777" w:rsidR="007854C7"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Edward Litton </w:t>
      </w:r>
      <w:proofErr w:type="gramStart"/>
      <w:r w:rsidRPr="00AB17DD">
        <w:rPr>
          <w:rFonts w:ascii="Arial" w:hAnsi="Arial" w:cs="Arial"/>
          <w:color w:val="77787B"/>
          <w:sz w:val="16"/>
          <w:szCs w:val="16"/>
        </w:rPr>
        <w:t>1 ,</w:t>
      </w:r>
      <w:proofErr w:type="gramEnd"/>
      <w:r w:rsidRPr="00AB17DD">
        <w:rPr>
          <w:rFonts w:ascii="Arial" w:hAnsi="Arial" w:cs="Arial"/>
          <w:color w:val="77787B"/>
          <w:sz w:val="16"/>
          <w:szCs w:val="16"/>
        </w:rPr>
        <w:t xml:space="preserve"> Jing Xiao, Kwok M Ho. Safety and efficacy of intravenous iron therapy in reducing requirement for allogeneic blood transfusion: systematic review and meta-analysis of </w:t>
      </w:r>
      <w:proofErr w:type="spellStart"/>
      <w:r w:rsidRPr="00AB17DD">
        <w:rPr>
          <w:rFonts w:ascii="Arial" w:hAnsi="Arial" w:cs="Arial"/>
          <w:color w:val="77787B"/>
          <w:sz w:val="16"/>
          <w:szCs w:val="16"/>
        </w:rPr>
        <w:t>randomised</w:t>
      </w:r>
      <w:proofErr w:type="spellEnd"/>
      <w:r w:rsidRPr="00AB17DD">
        <w:rPr>
          <w:rFonts w:ascii="Arial" w:hAnsi="Arial" w:cs="Arial"/>
          <w:color w:val="77787B"/>
          <w:sz w:val="16"/>
          <w:szCs w:val="16"/>
        </w:rPr>
        <w:t xml:space="preserve"> clinical trials. </w:t>
      </w:r>
      <w:proofErr w:type="gramStart"/>
      <w:r w:rsidRPr="00AB17DD">
        <w:rPr>
          <w:rFonts w:ascii="Arial" w:hAnsi="Arial" w:cs="Arial"/>
          <w:color w:val="77787B"/>
          <w:sz w:val="16"/>
          <w:szCs w:val="16"/>
        </w:rPr>
        <w:t>BMJ  (</w:t>
      </w:r>
      <w:proofErr w:type="gramEnd"/>
      <w:r w:rsidRPr="00AB17DD">
        <w:rPr>
          <w:rFonts w:ascii="Arial" w:hAnsi="Arial" w:cs="Arial"/>
          <w:color w:val="77787B"/>
          <w:sz w:val="16"/>
          <w:szCs w:val="16"/>
        </w:rPr>
        <w:t>2013).</w:t>
      </w:r>
    </w:p>
    <w:p w14:paraId="3A529CE8" w14:textId="77777777" w:rsidR="007854C7" w:rsidRPr="007854C7" w:rsidRDefault="007854C7" w:rsidP="007854C7">
      <w:pPr>
        <w:pStyle w:val="ListParagraph"/>
        <w:ind w:left="630"/>
        <w:rPr>
          <w:rFonts w:ascii="Arial" w:hAnsi="Arial" w:cs="Arial"/>
          <w:color w:val="77787B"/>
          <w:sz w:val="16"/>
          <w:szCs w:val="16"/>
        </w:rPr>
      </w:pPr>
    </w:p>
    <w:p w14:paraId="169166B2" w14:textId="2C49E858" w:rsidR="00BF25B6" w:rsidRPr="007854C7" w:rsidRDefault="00BF25B6" w:rsidP="007854C7">
      <w:pPr>
        <w:pStyle w:val="ListParagraph"/>
        <w:numPr>
          <w:ilvl w:val="0"/>
          <w:numId w:val="31"/>
        </w:numPr>
        <w:ind w:left="630"/>
        <w:rPr>
          <w:rFonts w:ascii="Arial" w:hAnsi="Arial" w:cs="Arial"/>
          <w:color w:val="77787B"/>
          <w:sz w:val="16"/>
          <w:szCs w:val="16"/>
        </w:rPr>
      </w:pPr>
      <w:r w:rsidRPr="007854C7">
        <w:rPr>
          <w:rFonts w:ascii="Arial" w:hAnsi="Arial" w:cs="Arial"/>
          <w:color w:val="77787B"/>
          <w:sz w:val="16"/>
          <w:szCs w:val="16"/>
        </w:rPr>
        <w:t>Caro J. · Erslev A. J. Erythropoietin Assays and Their Use in the Study of Anemias. N</w:t>
      </w:r>
      <w:r w:rsidRPr="007854C7">
        <w:rPr>
          <w:rFonts w:ascii="Arial" w:hAnsi="Arial" w:cs="Arial"/>
          <w:i/>
          <w:iCs/>
          <w:color w:val="77787B"/>
          <w:sz w:val="16"/>
          <w:szCs w:val="16"/>
        </w:rPr>
        <w:t>ephrology</w:t>
      </w:r>
      <w:r w:rsidRPr="007854C7">
        <w:rPr>
          <w:rFonts w:ascii="Arial" w:hAnsi="Arial" w:cs="Arial"/>
          <w:color w:val="77787B"/>
          <w:sz w:val="16"/>
          <w:szCs w:val="16"/>
        </w:rPr>
        <w:t xml:space="preserve"> </w:t>
      </w:r>
      <w:proofErr w:type="gramStart"/>
      <w:r w:rsidRPr="007854C7">
        <w:rPr>
          <w:rFonts w:ascii="Arial" w:hAnsi="Arial" w:cs="Arial"/>
          <w:color w:val="77787B"/>
          <w:sz w:val="16"/>
          <w:szCs w:val="16"/>
        </w:rPr>
        <w:t>1988;  66</w:t>
      </w:r>
      <w:proofErr w:type="gramEnd"/>
      <w:r w:rsidRPr="007854C7">
        <w:rPr>
          <w:rFonts w:ascii="Arial" w:hAnsi="Arial" w:cs="Arial"/>
          <w:color w:val="77787B"/>
          <w:sz w:val="16"/>
          <w:szCs w:val="16"/>
        </w:rPr>
        <w:t>: 54-62</w:t>
      </w:r>
    </w:p>
    <w:p w14:paraId="631D6FC9" w14:textId="77777777" w:rsidR="00BF25B6" w:rsidRPr="00AB17DD" w:rsidRDefault="00BF25B6" w:rsidP="007854C7">
      <w:pPr>
        <w:ind w:left="630"/>
        <w:rPr>
          <w:rFonts w:ascii="Arial" w:hAnsi="Arial" w:cs="Arial"/>
          <w:color w:val="77787B"/>
          <w:sz w:val="16"/>
          <w:szCs w:val="16"/>
        </w:rPr>
      </w:pPr>
    </w:p>
    <w:p w14:paraId="7B5669E7"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7854C7">
        <w:rPr>
          <w:rFonts w:ascii="Arial" w:hAnsi="Arial" w:cs="Arial"/>
          <w:color w:val="77787B"/>
          <w:sz w:val="16"/>
          <w:szCs w:val="16"/>
          <w:lang w:val="sv-SE"/>
        </w:rPr>
        <w:t xml:space="preserve">Nabil Hassan, Brian </w:t>
      </w:r>
      <w:proofErr w:type="spellStart"/>
      <w:proofErr w:type="gramStart"/>
      <w:r w:rsidRPr="007854C7">
        <w:rPr>
          <w:rFonts w:ascii="Arial" w:hAnsi="Arial" w:cs="Arial"/>
          <w:color w:val="77787B"/>
          <w:sz w:val="16"/>
          <w:szCs w:val="16"/>
          <w:lang w:val="sv-SE"/>
        </w:rPr>
        <w:t>Boville</w:t>
      </w:r>
      <w:proofErr w:type="spellEnd"/>
      <w:r w:rsidRPr="007854C7">
        <w:rPr>
          <w:rFonts w:ascii="Arial" w:hAnsi="Arial" w:cs="Arial"/>
          <w:color w:val="77787B"/>
          <w:sz w:val="16"/>
          <w:szCs w:val="16"/>
          <w:lang w:val="sv-SE"/>
        </w:rPr>
        <w:t xml:space="preserve"> ,</w:t>
      </w:r>
      <w:proofErr w:type="spellStart"/>
      <w:r w:rsidRPr="007854C7">
        <w:rPr>
          <w:rFonts w:ascii="Arial" w:hAnsi="Arial" w:cs="Arial"/>
          <w:color w:val="77787B"/>
          <w:sz w:val="16"/>
          <w:szCs w:val="16"/>
          <w:lang w:val="sv-SE"/>
        </w:rPr>
        <w:t>Diann</w:t>
      </w:r>
      <w:proofErr w:type="spellEnd"/>
      <w:proofErr w:type="gramEnd"/>
      <w:r w:rsidRPr="007854C7">
        <w:rPr>
          <w:rFonts w:ascii="Arial" w:hAnsi="Arial" w:cs="Arial"/>
          <w:color w:val="77787B"/>
          <w:sz w:val="16"/>
          <w:szCs w:val="16"/>
          <w:lang w:val="sv-SE"/>
        </w:rPr>
        <w:t xml:space="preserve"> </w:t>
      </w:r>
      <w:proofErr w:type="spellStart"/>
      <w:r w:rsidRPr="007854C7">
        <w:rPr>
          <w:rFonts w:ascii="Arial" w:hAnsi="Arial" w:cs="Arial"/>
          <w:color w:val="77787B"/>
          <w:sz w:val="16"/>
          <w:szCs w:val="16"/>
          <w:lang w:val="sv-SE"/>
        </w:rPr>
        <w:t>Reischmann</w:t>
      </w:r>
      <w:proofErr w:type="spellEnd"/>
      <w:r w:rsidRPr="007854C7">
        <w:rPr>
          <w:rFonts w:ascii="Arial" w:hAnsi="Arial" w:cs="Arial"/>
          <w:color w:val="77787B"/>
          <w:sz w:val="16"/>
          <w:szCs w:val="16"/>
          <w:lang w:val="sv-SE"/>
        </w:rPr>
        <w:t xml:space="preserve"> , </w:t>
      </w:r>
      <w:proofErr w:type="spellStart"/>
      <w:r w:rsidRPr="007854C7">
        <w:rPr>
          <w:rFonts w:ascii="Arial" w:hAnsi="Arial" w:cs="Arial"/>
          <w:color w:val="77787B"/>
          <w:sz w:val="16"/>
          <w:szCs w:val="16"/>
          <w:lang w:val="sv-SE"/>
        </w:rPr>
        <w:t>Akunne</w:t>
      </w:r>
      <w:proofErr w:type="spellEnd"/>
      <w:r w:rsidRPr="007854C7">
        <w:rPr>
          <w:rFonts w:ascii="Arial" w:hAnsi="Arial" w:cs="Arial"/>
          <w:color w:val="77787B"/>
          <w:sz w:val="16"/>
          <w:szCs w:val="16"/>
          <w:lang w:val="sv-SE"/>
        </w:rPr>
        <w:t xml:space="preserve"> </w:t>
      </w:r>
      <w:proofErr w:type="spellStart"/>
      <w:r w:rsidRPr="007854C7">
        <w:rPr>
          <w:rFonts w:ascii="Arial" w:hAnsi="Arial" w:cs="Arial"/>
          <w:color w:val="77787B"/>
          <w:sz w:val="16"/>
          <w:szCs w:val="16"/>
          <w:lang w:val="sv-SE"/>
        </w:rPr>
        <w:t>Ndika</w:t>
      </w:r>
      <w:proofErr w:type="spellEnd"/>
      <w:r w:rsidRPr="007854C7">
        <w:rPr>
          <w:rFonts w:ascii="Arial" w:hAnsi="Arial" w:cs="Arial"/>
          <w:color w:val="77787B"/>
          <w:sz w:val="16"/>
          <w:szCs w:val="16"/>
          <w:lang w:val="sv-SE"/>
        </w:rPr>
        <w:t xml:space="preserve"> , David </w:t>
      </w:r>
      <w:proofErr w:type="spellStart"/>
      <w:r w:rsidRPr="007854C7">
        <w:rPr>
          <w:rFonts w:ascii="Arial" w:hAnsi="Arial" w:cs="Arial"/>
          <w:color w:val="77787B"/>
          <w:sz w:val="16"/>
          <w:szCs w:val="16"/>
          <w:lang w:val="sv-SE"/>
        </w:rPr>
        <w:t>Sterken</w:t>
      </w:r>
      <w:proofErr w:type="spellEnd"/>
      <w:r w:rsidRPr="007854C7">
        <w:rPr>
          <w:rFonts w:ascii="Arial" w:hAnsi="Arial" w:cs="Arial"/>
          <w:color w:val="77787B"/>
          <w:sz w:val="16"/>
          <w:szCs w:val="16"/>
          <w:lang w:val="sv-SE"/>
        </w:rPr>
        <w:t xml:space="preserve"> , Karen </w:t>
      </w:r>
      <w:proofErr w:type="spellStart"/>
      <w:r w:rsidRPr="007854C7">
        <w:rPr>
          <w:rFonts w:ascii="Arial" w:hAnsi="Arial" w:cs="Arial"/>
          <w:color w:val="77787B"/>
          <w:sz w:val="16"/>
          <w:szCs w:val="16"/>
          <w:lang w:val="sv-SE"/>
        </w:rPr>
        <w:t>Kovey</w:t>
      </w:r>
      <w:proofErr w:type="spellEnd"/>
      <w:r w:rsidRPr="007854C7">
        <w:rPr>
          <w:rFonts w:ascii="Arial" w:hAnsi="Arial" w:cs="Arial"/>
          <w:color w:val="77787B"/>
          <w:sz w:val="16"/>
          <w:szCs w:val="16"/>
          <w:lang w:val="sv-SE"/>
        </w:rPr>
        <w:t xml:space="preserve">. </w:t>
      </w:r>
      <w:r w:rsidRPr="00AB17DD">
        <w:rPr>
          <w:rFonts w:ascii="Arial" w:hAnsi="Arial" w:cs="Arial"/>
          <w:color w:val="77787B"/>
          <w:sz w:val="16"/>
          <w:szCs w:val="16"/>
        </w:rPr>
        <w:t xml:space="preserve">Intravenous </w:t>
      </w:r>
      <w:proofErr w:type="spellStart"/>
      <w:r w:rsidRPr="00AB17DD">
        <w:rPr>
          <w:rFonts w:ascii="Arial" w:hAnsi="Arial" w:cs="Arial"/>
          <w:color w:val="77787B"/>
          <w:sz w:val="16"/>
          <w:szCs w:val="16"/>
        </w:rPr>
        <w:t>Ferumoxytol</w:t>
      </w:r>
      <w:proofErr w:type="spellEnd"/>
      <w:r w:rsidRPr="00AB17DD">
        <w:rPr>
          <w:rFonts w:ascii="Arial" w:hAnsi="Arial" w:cs="Arial"/>
          <w:color w:val="77787B"/>
          <w:sz w:val="16"/>
          <w:szCs w:val="16"/>
        </w:rPr>
        <w:t xml:space="preserve"> in Pediatric Patients </w:t>
      </w:r>
      <w:proofErr w:type="gramStart"/>
      <w:r w:rsidRPr="00AB17DD">
        <w:rPr>
          <w:rFonts w:ascii="Arial" w:hAnsi="Arial" w:cs="Arial"/>
          <w:color w:val="77787B"/>
          <w:sz w:val="16"/>
          <w:szCs w:val="16"/>
        </w:rPr>
        <w:t>With</w:t>
      </w:r>
      <w:proofErr w:type="gramEnd"/>
      <w:r w:rsidRPr="00AB17DD">
        <w:rPr>
          <w:rFonts w:ascii="Arial" w:hAnsi="Arial" w:cs="Arial"/>
          <w:color w:val="77787B"/>
          <w:sz w:val="16"/>
          <w:szCs w:val="16"/>
        </w:rPr>
        <w:t xml:space="preserve"> Iron Deficiency Anemia. Ann </w:t>
      </w:r>
      <w:proofErr w:type="spellStart"/>
      <w:r w:rsidRPr="00AB17DD">
        <w:rPr>
          <w:rFonts w:ascii="Arial" w:hAnsi="Arial" w:cs="Arial"/>
          <w:color w:val="77787B"/>
          <w:sz w:val="16"/>
          <w:szCs w:val="16"/>
        </w:rPr>
        <w:t>Pharmacother</w:t>
      </w:r>
      <w:proofErr w:type="spellEnd"/>
      <w:r w:rsidRPr="00AB17DD">
        <w:rPr>
          <w:rFonts w:ascii="Arial" w:hAnsi="Arial" w:cs="Arial"/>
          <w:color w:val="77787B"/>
          <w:sz w:val="16"/>
          <w:szCs w:val="16"/>
        </w:rPr>
        <w:t xml:space="preserve"> 2017 Jul;51(7):548-554</w:t>
      </w:r>
    </w:p>
    <w:p w14:paraId="3D29B4BC" w14:textId="77777777" w:rsidR="00BF25B6" w:rsidRPr="00AB17DD" w:rsidRDefault="00BF25B6" w:rsidP="007854C7">
      <w:pPr>
        <w:pStyle w:val="ListParagraph"/>
        <w:ind w:left="630"/>
        <w:rPr>
          <w:rFonts w:ascii="Arial" w:hAnsi="Arial" w:cs="Arial"/>
          <w:color w:val="77787B"/>
          <w:sz w:val="16"/>
          <w:szCs w:val="16"/>
        </w:rPr>
      </w:pPr>
    </w:p>
    <w:p w14:paraId="040766D8"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Alexander A Boucher, Amanda Pfeiffer, Ashley Bedel, Jennifer </w:t>
      </w:r>
      <w:proofErr w:type="gramStart"/>
      <w:r w:rsidRPr="00AB17DD">
        <w:rPr>
          <w:rFonts w:ascii="Arial" w:hAnsi="Arial" w:cs="Arial"/>
          <w:color w:val="77787B"/>
          <w:sz w:val="16"/>
          <w:szCs w:val="16"/>
        </w:rPr>
        <w:t>Young ,</w:t>
      </w:r>
      <w:proofErr w:type="gramEnd"/>
      <w:r w:rsidRPr="00AB17DD">
        <w:rPr>
          <w:rFonts w:ascii="Arial" w:hAnsi="Arial" w:cs="Arial"/>
          <w:color w:val="77787B"/>
          <w:sz w:val="16"/>
          <w:szCs w:val="16"/>
        </w:rPr>
        <w:t xml:space="preserve"> Patrick T McGann. Utilization trends and safety of intravenous iron replacement in pediatric specialty care: A large retrospective cohort study. </w:t>
      </w:r>
      <w:proofErr w:type="spellStart"/>
      <w:r w:rsidRPr="00AB17DD">
        <w:rPr>
          <w:rFonts w:ascii="Arial" w:hAnsi="Arial" w:cs="Arial"/>
          <w:color w:val="77787B"/>
          <w:sz w:val="16"/>
          <w:szCs w:val="16"/>
        </w:rPr>
        <w:t>Pediatr</w:t>
      </w:r>
      <w:proofErr w:type="spellEnd"/>
      <w:r w:rsidRPr="00AB17DD">
        <w:rPr>
          <w:rFonts w:ascii="Arial" w:hAnsi="Arial" w:cs="Arial"/>
          <w:color w:val="77787B"/>
          <w:sz w:val="16"/>
          <w:szCs w:val="16"/>
        </w:rPr>
        <w:t xml:space="preserve"> Blood Cancer 2018 Jun;65(6</w:t>
      </w:r>
      <w:proofErr w:type="gramStart"/>
      <w:r w:rsidRPr="00AB17DD">
        <w:rPr>
          <w:rFonts w:ascii="Arial" w:hAnsi="Arial" w:cs="Arial"/>
          <w:color w:val="77787B"/>
          <w:sz w:val="16"/>
          <w:szCs w:val="16"/>
        </w:rPr>
        <w:t>):e</w:t>
      </w:r>
      <w:proofErr w:type="gramEnd"/>
      <w:r w:rsidRPr="00AB17DD">
        <w:rPr>
          <w:rFonts w:ascii="Arial" w:hAnsi="Arial" w:cs="Arial"/>
          <w:color w:val="77787B"/>
          <w:sz w:val="16"/>
          <w:szCs w:val="16"/>
        </w:rPr>
        <w:t xml:space="preserve">26995. </w:t>
      </w:r>
    </w:p>
    <w:p w14:paraId="2B011814" w14:textId="77777777" w:rsidR="00BF25B6" w:rsidRPr="00AB17DD" w:rsidRDefault="00BF25B6" w:rsidP="007854C7">
      <w:pPr>
        <w:pStyle w:val="ListParagraph"/>
        <w:ind w:left="630"/>
        <w:rPr>
          <w:rFonts w:ascii="Arial" w:hAnsi="Arial" w:cs="Arial"/>
          <w:color w:val="77787B"/>
          <w:sz w:val="16"/>
          <w:szCs w:val="16"/>
        </w:rPr>
      </w:pPr>
    </w:p>
    <w:p w14:paraId="6405862A"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Shelley E Crary </w:t>
      </w:r>
      <w:proofErr w:type="gramStart"/>
      <w:r w:rsidRPr="00AB17DD">
        <w:rPr>
          <w:rFonts w:ascii="Arial" w:hAnsi="Arial" w:cs="Arial"/>
          <w:color w:val="77787B"/>
          <w:sz w:val="16"/>
          <w:szCs w:val="16"/>
        </w:rPr>
        <w:t>1 ,</w:t>
      </w:r>
      <w:proofErr w:type="gramEnd"/>
      <w:r w:rsidRPr="00AB17DD">
        <w:rPr>
          <w:rFonts w:ascii="Arial" w:hAnsi="Arial" w:cs="Arial"/>
          <w:color w:val="77787B"/>
          <w:sz w:val="16"/>
          <w:szCs w:val="16"/>
        </w:rPr>
        <w:t xml:space="preserve"> Katherine Hall, George R Buchanan. Intravenous iron sucrose for children with iron deficiency failing to respond to oral iron therapy. </w:t>
      </w:r>
      <w:proofErr w:type="spellStart"/>
      <w:r w:rsidRPr="00AB17DD">
        <w:rPr>
          <w:rFonts w:ascii="Arial" w:hAnsi="Arial" w:cs="Arial"/>
          <w:color w:val="77787B"/>
          <w:sz w:val="16"/>
          <w:szCs w:val="16"/>
        </w:rPr>
        <w:t>Pediatr</w:t>
      </w:r>
      <w:proofErr w:type="spellEnd"/>
      <w:r w:rsidRPr="00AB17DD">
        <w:rPr>
          <w:rFonts w:ascii="Arial" w:hAnsi="Arial" w:cs="Arial"/>
          <w:color w:val="77787B"/>
          <w:sz w:val="16"/>
          <w:szCs w:val="16"/>
        </w:rPr>
        <w:t xml:space="preserve"> Blood Cancer 2011 Apr;56(4):615-9.  </w:t>
      </w:r>
    </w:p>
    <w:p w14:paraId="42F8DD5D" w14:textId="77777777" w:rsidR="00BF25B6" w:rsidRPr="00AB17DD" w:rsidRDefault="00BF25B6" w:rsidP="007854C7">
      <w:pPr>
        <w:pStyle w:val="ListParagraph"/>
        <w:ind w:left="630"/>
        <w:rPr>
          <w:rFonts w:ascii="Arial" w:hAnsi="Arial" w:cs="Arial"/>
          <w:color w:val="77787B"/>
          <w:sz w:val="16"/>
          <w:szCs w:val="16"/>
        </w:rPr>
      </w:pPr>
    </w:p>
    <w:p w14:paraId="60510609"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Pediatric Blood and Cancer. 16 September 2015. Elpis Mantadakis. Advances in Pediatric Intravenous Iron Therapy</w:t>
      </w:r>
    </w:p>
    <w:p w14:paraId="1F616B87" w14:textId="77777777" w:rsidR="00BF25B6" w:rsidRPr="00AB17DD" w:rsidRDefault="00BF25B6" w:rsidP="007854C7">
      <w:pPr>
        <w:pStyle w:val="ListParagraph"/>
        <w:ind w:left="630"/>
        <w:rPr>
          <w:rFonts w:ascii="Arial" w:hAnsi="Arial" w:cs="Arial"/>
          <w:color w:val="77787B"/>
          <w:sz w:val="16"/>
          <w:szCs w:val="16"/>
        </w:rPr>
      </w:pPr>
    </w:p>
    <w:p w14:paraId="7766CEDD"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lang w:val="en"/>
        </w:rPr>
        <w:t xml:space="preserve">Glenn M </w:t>
      </w:r>
      <w:proofErr w:type="spellStart"/>
      <w:r w:rsidRPr="00AB17DD">
        <w:rPr>
          <w:rFonts w:ascii="Arial" w:hAnsi="Arial" w:cs="Arial"/>
          <w:color w:val="77787B"/>
          <w:sz w:val="16"/>
          <w:szCs w:val="16"/>
          <w:lang w:val="en"/>
        </w:rPr>
        <w:t>Chertow</w:t>
      </w:r>
      <w:proofErr w:type="spellEnd"/>
      <w:r w:rsidRPr="00AB17DD">
        <w:rPr>
          <w:rFonts w:ascii="Arial" w:hAnsi="Arial" w:cs="Arial"/>
          <w:color w:val="77787B"/>
          <w:sz w:val="16"/>
          <w:szCs w:val="16"/>
          <w:lang w:val="en"/>
        </w:rPr>
        <w:t xml:space="preserve">, Phillip D Mason, Odd </w:t>
      </w:r>
      <w:proofErr w:type="spellStart"/>
      <w:r w:rsidRPr="00AB17DD">
        <w:rPr>
          <w:rFonts w:ascii="Arial" w:hAnsi="Arial" w:cs="Arial"/>
          <w:color w:val="77787B"/>
          <w:sz w:val="16"/>
          <w:szCs w:val="16"/>
          <w:lang w:val="en"/>
        </w:rPr>
        <w:t>Vaage</w:t>
      </w:r>
      <w:proofErr w:type="spellEnd"/>
      <w:r w:rsidRPr="00AB17DD">
        <w:rPr>
          <w:rFonts w:ascii="Arial" w:hAnsi="Arial" w:cs="Arial"/>
          <w:color w:val="77787B"/>
          <w:sz w:val="16"/>
          <w:szCs w:val="16"/>
          <w:lang w:val="en"/>
        </w:rPr>
        <w:t xml:space="preserve">-Nilsen, Jarl </w:t>
      </w:r>
      <w:proofErr w:type="spellStart"/>
      <w:r w:rsidRPr="00AB17DD">
        <w:rPr>
          <w:rFonts w:ascii="Arial" w:hAnsi="Arial" w:cs="Arial"/>
          <w:color w:val="77787B"/>
          <w:sz w:val="16"/>
          <w:szCs w:val="16"/>
          <w:lang w:val="en"/>
        </w:rPr>
        <w:t>Ahlmen</w:t>
      </w:r>
      <w:proofErr w:type="spellEnd"/>
      <w:r w:rsidRPr="00AB17DD">
        <w:rPr>
          <w:rFonts w:ascii="Arial" w:hAnsi="Arial" w:cs="Arial"/>
          <w:color w:val="77787B"/>
          <w:sz w:val="16"/>
          <w:szCs w:val="16"/>
          <w:lang w:val="en"/>
        </w:rPr>
        <w:t>. Update on adverse drug events associated with parenteral iron. Nephrology Dialysis Transplantation, Volume 21, Issue 2, February 2006, Pages 378–382</w:t>
      </w:r>
    </w:p>
    <w:p w14:paraId="3E1AF6A9" w14:textId="77777777" w:rsidR="00BF25B6" w:rsidRPr="00AB17DD" w:rsidRDefault="00BF25B6" w:rsidP="007854C7">
      <w:pPr>
        <w:ind w:left="630"/>
        <w:rPr>
          <w:rFonts w:ascii="Arial" w:hAnsi="Arial" w:cs="Arial"/>
          <w:color w:val="77787B"/>
          <w:sz w:val="16"/>
          <w:szCs w:val="16"/>
        </w:rPr>
      </w:pPr>
    </w:p>
    <w:p w14:paraId="2B758D55"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Tansu Sav </w:t>
      </w:r>
      <w:proofErr w:type="gramStart"/>
      <w:r w:rsidRPr="00AB17DD">
        <w:rPr>
          <w:rFonts w:ascii="Arial" w:hAnsi="Arial" w:cs="Arial"/>
          <w:color w:val="77787B"/>
          <w:sz w:val="16"/>
          <w:szCs w:val="16"/>
        </w:rPr>
        <w:t>1 ,</w:t>
      </w:r>
      <w:proofErr w:type="gramEnd"/>
      <w:r w:rsidRPr="00AB17DD">
        <w:rPr>
          <w:rFonts w:ascii="Arial" w:hAnsi="Arial" w:cs="Arial"/>
          <w:color w:val="77787B"/>
          <w:sz w:val="16"/>
          <w:szCs w:val="16"/>
        </w:rPr>
        <w:t xml:space="preserve"> Bulent </w:t>
      </w:r>
      <w:proofErr w:type="spellStart"/>
      <w:r w:rsidRPr="00AB17DD">
        <w:rPr>
          <w:rFonts w:ascii="Arial" w:hAnsi="Arial" w:cs="Arial"/>
          <w:color w:val="77787B"/>
          <w:sz w:val="16"/>
          <w:szCs w:val="16"/>
        </w:rPr>
        <w:t>Tokgoz</w:t>
      </w:r>
      <w:proofErr w:type="spellEnd"/>
      <w:r w:rsidRPr="00AB17DD">
        <w:rPr>
          <w:rFonts w:ascii="Arial" w:hAnsi="Arial" w:cs="Arial"/>
          <w:color w:val="77787B"/>
          <w:sz w:val="16"/>
          <w:szCs w:val="16"/>
        </w:rPr>
        <w:t xml:space="preserve">, Murat </w:t>
      </w:r>
      <w:proofErr w:type="spellStart"/>
      <w:r w:rsidRPr="00AB17DD">
        <w:rPr>
          <w:rFonts w:ascii="Arial" w:hAnsi="Arial" w:cs="Arial"/>
          <w:color w:val="77787B"/>
          <w:sz w:val="16"/>
          <w:szCs w:val="16"/>
        </w:rPr>
        <w:t>Hayri</w:t>
      </w:r>
      <w:proofErr w:type="spellEnd"/>
      <w:r w:rsidRPr="00AB17DD">
        <w:rPr>
          <w:rFonts w:ascii="Arial" w:hAnsi="Arial" w:cs="Arial"/>
          <w:color w:val="77787B"/>
          <w:sz w:val="16"/>
          <w:szCs w:val="16"/>
        </w:rPr>
        <w:t xml:space="preserve"> </w:t>
      </w:r>
      <w:proofErr w:type="spellStart"/>
      <w:r w:rsidRPr="00AB17DD">
        <w:rPr>
          <w:rFonts w:ascii="Arial" w:hAnsi="Arial" w:cs="Arial"/>
          <w:color w:val="77787B"/>
          <w:sz w:val="16"/>
          <w:szCs w:val="16"/>
        </w:rPr>
        <w:t>Sipahioglu</w:t>
      </w:r>
      <w:proofErr w:type="spellEnd"/>
      <w:r w:rsidRPr="00AB17DD">
        <w:rPr>
          <w:rFonts w:ascii="Arial" w:hAnsi="Arial" w:cs="Arial"/>
          <w:color w:val="77787B"/>
          <w:sz w:val="16"/>
          <w:szCs w:val="16"/>
        </w:rPr>
        <w:t xml:space="preserve">, Murat Deveci, Ismail Sari, </w:t>
      </w:r>
      <w:proofErr w:type="spellStart"/>
      <w:r w:rsidRPr="00AB17DD">
        <w:rPr>
          <w:rFonts w:ascii="Arial" w:hAnsi="Arial" w:cs="Arial"/>
          <w:color w:val="77787B"/>
          <w:sz w:val="16"/>
          <w:szCs w:val="16"/>
        </w:rPr>
        <w:t>Oktay</w:t>
      </w:r>
      <w:proofErr w:type="spellEnd"/>
      <w:r w:rsidRPr="00AB17DD">
        <w:rPr>
          <w:rFonts w:ascii="Arial" w:hAnsi="Arial" w:cs="Arial"/>
          <w:color w:val="77787B"/>
          <w:sz w:val="16"/>
          <w:szCs w:val="16"/>
        </w:rPr>
        <w:t xml:space="preserve"> </w:t>
      </w:r>
      <w:proofErr w:type="spellStart"/>
      <w:r w:rsidRPr="00AB17DD">
        <w:rPr>
          <w:rFonts w:ascii="Arial" w:hAnsi="Arial" w:cs="Arial"/>
          <w:color w:val="77787B"/>
          <w:sz w:val="16"/>
          <w:szCs w:val="16"/>
        </w:rPr>
        <w:t>Oymak</w:t>
      </w:r>
      <w:proofErr w:type="spellEnd"/>
      <w:r w:rsidRPr="00AB17DD">
        <w:rPr>
          <w:rFonts w:ascii="Arial" w:hAnsi="Arial" w:cs="Arial"/>
          <w:color w:val="77787B"/>
          <w:sz w:val="16"/>
          <w:szCs w:val="16"/>
        </w:rPr>
        <w:t xml:space="preserve">, Cengiz Utas. Is there a difference between the allergic potencies of the iron sucrose and low molecular weight iron dextran? Ren </w:t>
      </w:r>
      <w:proofErr w:type="gramStart"/>
      <w:r w:rsidRPr="00AB17DD">
        <w:rPr>
          <w:rFonts w:ascii="Arial" w:hAnsi="Arial" w:cs="Arial"/>
          <w:color w:val="77787B"/>
          <w:sz w:val="16"/>
          <w:szCs w:val="16"/>
        </w:rPr>
        <w:t>Fail .</w:t>
      </w:r>
      <w:proofErr w:type="gramEnd"/>
      <w:r w:rsidRPr="00AB17DD">
        <w:rPr>
          <w:rFonts w:ascii="Arial" w:hAnsi="Arial" w:cs="Arial"/>
          <w:color w:val="77787B"/>
          <w:sz w:val="16"/>
          <w:szCs w:val="16"/>
        </w:rPr>
        <w:t xml:space="preserve"> 2007;29(4):423-6</w:t>
      </w:r>
    </w:p>
    <w:p w14:paraId="57BBCAD9" w14:textId="77777777" w:rsidR="00BF25B6" w:rsidRPr="00AB17DD" w:rsidRDefault="00BF25B6" w:rsidP="007854C7">
      <w:pPr>
        <w:pStyle w:val="ListParagraph"/>
        <w:ind w:left="630"/>
        <w:rPr>
          <w:rFonts w:ascii="Arial" w:hAnsi="Arial" w:cs="Arial"/>
          <w:color w:val="77787B"/>
          <w:sz w:val="16"/>
          <w:szCs w:val="16"/>
        </w:rPr>
      </w:pPr>
    </w:p>
    <w:p w14:paraId="5A61BFEC" w14:textId="77777777" w:rsidR="00BF25B6" w:rsidRPr="00AB17DD" w:rsidRDefault="00BF25B6" w:rsidP="007854C7">
      <w:pPr>
        <w:pStyle w:val="ListParagraph"/>
        <w:numPr>
          <w:ilvl w:val="0"/>
          <w:numId w:val="31"/>
        </w:numPr>
        <w:ind w:left="630"/>
        <w:rPr>
          <w:rFonts w:ascii="Arial" w:hAnsi="Arial" w:cs="Arial"/>
          <w:color w:val="77787B"/>
          <w:sz w:val="16"/>
          <w:szCs w:val="16"/>
        </w:rPr>
      </w:pPr>
      <w:r w:rsidRPr="00AB17DD">
        <w:rPr>
          <w:rFonts w:ascii="Arial" w:hAnsi="Arial" w:cs="Arial"/>
          <w:color w:val="77787B"/>
          <w:sz w:val="16"/>
          <w:szCs w:val="16"/>
        </w:rPr>
        <w:t xml:space="preserve">C </w:t>
      </w:r>
      <w:proofErr w:type="spellStart"/>
      <w:r w:rsidRPr="00AB17DD">
        <w:rPr>
          <w:rFonts w:ascii="Arial" w:hAnsi="Arial" w:cs="Arial"/>
          <w:color w:val="77787B"/>
          <w:sz w:val="16"/>
          <w:szCs w:val="16"/>
        </w:rPr>
        <w:t>Cunlin</w:t>
      </w:r>
      <w:proofErr w:type="spellEnd"/>
      <w:r w:rsidRPr="00AB17DD">
        <w:rPr>
          <w:rFonts w:ascii="Arial" w:hAnsi="Arial" w:cs="Arial"/>
          <w:color w:val="77787B"/>
          <w:sz w:val="16"/>
          <w:szCs w:val="16"/>
        </w:rPr>
        <w:t xml:space="preserve"> Wang, David J Graham, Robert C Kane, </w:t>
      </w:r>
      <w:proofErr w:type="spellStart"/>
      <w:r w:rsidRPr="00AB17DD">
        <w:rPr>
          <w:rFonts w:ascii="Arial" w:hAnsi="Arial" w:cs="Arial"/>
          <w:color w:val="77787B"/>
          <w:sz w:val="16"/>
          <w:szCs w:val="16"/>
        </w:rPr>
        <w:t>Diqiong</w:t>
      </w:r>
      <w:proofErr w:type="spellEnd"/>
      <w:r w:rsidRPr="00AB17DD">
        <w:rPr>
          <w:rFonts w:ascii="Arial" w:hAnsi="Arial" w:cs="Arial"/>
          <w:color w:val="77787B"/>
          <w:sz w:val="16"/>
          <w:szCs w:val="16"/>
        </w:rPr>
        <w:t xml:space="preserve"> </w:t>
      </w:r>
      <w:proofErr w:type="spellStart"/>
      <w:r w:rsidRPr="00AB17DD">
        <w:rPr>
          <w:rFonts w:ascii="Arial" w:hAnsi="Arial" w:cs="Arial"/>
          <w:color w:val="77787B"/>
          <w:sz w:val="16"/>
          <w:szCs w:val="16"/>
        </w:rPr>
        <w:t>Xie</w:t>
      </w:r>
      <w:proofErr w:type="spellEnd"/>
      <w:r w:rsidRPr="00AB17DD">
        <w:rPr>
          <w:rFonts w:ascii="Arial" w:hAnsi="Arial" w:cs="Arial"/>
          <w:color w:val="77787B"/>
          <w:sz w:val="16"/>
          <w:szCs w:val="16"/>
        </w:rPr>
        <w:t xml:space="preserve">, Michael </w:t>
      </w:r>
      <w:proofErr w:type="spellStart"/>
      <w:r w:rsidRPr="00AB17DD">
        <w:rPr>
          <w:rFonts w:ascii="Arial" w:hAnsi="Arial" w:cs="Arial"/>
          <w:color w:val="77787B"/>
          <w:sz w:val="16"/>
          <w:szCs w:val="16"/>
        </w:rPr>
        <w:t>Wernecke</w:t>
      </w:r>
      <w:proofErr w:type="spellEnd"/>
      <w:r w:rsidRPr="00AB17DD">
        <w:rPr>
          <w:rFonts w:ascii="Arial" w:hAnsi="Arial" w:cs="Arial"/>
          <w:color w:val="77787B"/>
          <w:sz w:val="16"/>
          <w:szCs w:val="16"/>
        </w:rPr>
        <w:t xml:space="preserve">, Mark Levenson, Thomas E </w:t>
      </w:r>
      <w:proofErr w:type="spellStart"/>
      <w:r w:rsidRPr="00AB17DD">
        <w:rPr>
          <w:rFonts w:ascii="Arial" w:hAnsi="Arial" w:cs="Arial"/>
          <w:color w:val="77787B"/>
          <w:sz w:val="16"/>
          <w:szCs w:val="16"/>
        </w:rPr>
        <w:t>MaCurdy</w:t>
      </w:r>
      <w:proofErr w:type="spellEnd"/>
      <w:r w:rsidRPr="00AB17DD">
        <w:rPr>
          <w:rFonts w:ascii="Arial" w:hAnsi="Arial" w:cs="Arial"/>
          <w:color w:val="77787B"/>
          <w:sz w:val="16"/>
          <w:szCs w:val="16"/>
        </w:rPr>
        <w:t xml:space="preserve">, Monica </w:t>
      </w:r>
      <w:proofErr w:type="spellStart"/>
      <w:r w:rsidRPr="00AB17DD">
        <w:rPr>
          <w:rFonts w:ascii="Arial" w:hAnsi="Arial" w:cs="Arial"/>
          <w:color w:val="77787B"/>
          <w:sz w:val="16"/>
          <w:szCs w:val="16"/>
        </w:rPr>
        <w:t>Houstoun</w:t>
      </w:r>
      <w:proofErr w:type="spellEnd"/>
      <w:r w:rsidRPr="00AB17DD">
        <w:rPr>
          <w:rFonts w:ascii="Arial" w:hAnsi="Arial" w:cs="Arial"/>
          <w:color w:val="77787B"/>
          <w:sz w:val="16"/>
          <w:szCs w:val="16"/>
        </w:rPr>
        <w:t xml:space="preserve">, Qin Ryan, Sarah </w:t>
      </w:r>
      <w:proofErr w:type="gramStart"/>
      <w:r w:rsidRPr="00AB17DD">
        <w:rPr>
          <w:rFonts w:ascii="Arial" w:hAnsi="Arial" w:cs="Arial"/>
          <w:color w:val="77787B"/>
          <w:sz w:val="16"/>
          <w:szCs w:val="16"/>
        </w:rPr>
        <w:t>Wong ,</w:t>
      </w:r>
      <w:proofErr w:type="gramEnd"/>
      <w:r w:rsidRPr="00AB17DD">
        <w:rPr>
          <w:rFonts w:ascii="Arial" w:hAnsi="Arial" w:cs="Arial"/>
          <w:color w:val="77787B"/>
          <w:sz w:val="16"/>
          <w:szCs w:val="16"/>
        </w:rPr>
        <w:t xml:space="preserve"> Katrina Mott, Ting-Chang Sheu, Susan Limb, Chris Worrall, Jeffrey A Kelman , Marsha E Reichman  </w:t>
      </w:r>
      <w:proofErr w:type="spellStart"/>
      <w:r w:rsidRPr="00AB17DD">
        <w:rPr>
          <w:rFonts w:ascii="Arial" w:hAnsi="Arial" w:cs="Arial"/>
          <w:color w:val="77787B"/>
          <w:sz w:val="16"/>
          <w:szCs w:val="16"/>
        </w:rPr>
        <w:t>omparative</w:t>
      </w:r>
      <w:proofErr w:type="spellEnd"/>
      <w:r w:rsidRPr="00AB17DD">
        <w:rPr>
          <w:rFonts w:ascii="Arial" w:hAnsi="Arial" w:cs="Arial"/>
          <w:color w:val="77787B"/>
          <w:sz w:val="16"/>
          <w:szCs w:val="16"/>
        </w:rPr>
        <w:t xml:space="preserve"> Risk of Anaphylactic Reactions Associated With Intravenous Iron Products</w:t>
      </w:r>
    </w:p>
    <w:p w14:paraId="730C9972" w14:textId="77777777" w:rsidR="00BF25B6" w:rsidRPr="00AB17DD" w:rsidRDefault="00BF25B6" w:rsidP="007854C7">
      <w:pPr>
        <w:pStyle w:val="ListParagraph"/>
        <w:ind w:left="630"/>
        <w:rPr>
          <w:rFonts w:ascii="Arial" w:hAnsi="Arial" w:cs="Arial"/>
          <w:color w:val="77787B"/>
          <w:sz w:val="16"/>
          <w:szCs w:val="16"/>
        </w:rPr>
      </w:pPr>
    </w:p>
    <w:p w14:paraId="4567AD04" w14:textId="77777777" w:rsidR="00BF25B6" w:rsidRPr="00AB17DD" w:rsidRDefault="00BF25B6" w:rsidP="007854C7">
      <w:pPr>
        <w:pStyle w:val="ListParagraph"/>
        <w:numPr>
          <w:ilvl w:val="0"/>
          <w:numId w:val="31"/>
        </w:numPr>
        <w:ind w:left="630"/>
        <w:rPr>
          <w:rFonts w:ascii="Arial" w:hAnsi="Arial" w:cs="Arial"/>
          <w:color w:val="77787B"/>
          <w:sz w:val="16"/>
          <w:szCs w:val="16"/>
          <w:shd w:val="clear" w:color="auto" w:fill="FFFFFF"/>
        </w:rPr>
      </w:pPr>
      <w:r w:rsidRPr="00AB17DD">
        <w:rPr>
          <w:rFonts w:ascii="Arial" w:hAnsi="Arial" w:cs="Arial"/>
          <w:color w:val="77787B"/>
          <w:sz w:val="16"/>
          <w:szCs w:val="16"/>
          <w:shd w:val="clear" w:color="auto" w:fill="FFFFFF"/>
        </w:rPr>
        <w:t xml:space="preserve">Piche, Shannon </w:t>
      </w:r>
      <w:proofErr w:type="gramStart"/>
      <w:r w:rsidRPr="00AB17DD">
        <w:rPr>
          <w:rFonts w:ascii="Arial" w:hAnsi="Arial" w:cs="Arial"/>
          <w:color w:val="77787B"/>
          <w:sz w:val="16"/>
          <w:szCs w:val="16"/>
          <w:shd w:val="clear" w:color="auto" w:fill="FFFFFF"/>
        </w:rPr>
        <w:t>L,  Neil</w:t>
      </w:r>
      <w:proofErr w:type="gramEnd"/>
      <w:r w:rsidRPr="00AB17DD">
        <w:rPr>
          <w:rFonts w:ascii="Arial" w:hAnsi="Arial" w:cs="Arial"/>
          <w:color w:val="77787B"/>
          <w:sz w:val="16"/>
          <w:szCs w:val="16"/>
          <w:shd w:val="clear" w:color="auto" w:fill="FFFFFF"/>
        </w:rPr>
        <w:t>, Scott D, Frazee, Erin</w:t>
      </w:r>
      <w:r w:rsidRPr="00AB17DD">
        <w:rPr>
          <w:rFonts w:ascii="Arial" w:hAnsi="Arial" w:cs="Arial"/>
          <w:color w:val="77787B"/>
          <w:sz w:val="16"/>
          <w:szCs w:val="16"/>
          <w:shd w:val="clear" w:color="auto" w:fill="FFFFFF"/>
          <w:vertAlign w:val="superscript"/>
        </w:rPr>
        <w:t xml:space="preserve">, </w:t>
      </w:r>
      <w:r w:rsidRPr="00AB17DD">
        <w:rPr>
          <w:rFonts w:ascii="Arial" w:hAnsi="Arial" w:cs="Arial"/>
          <w:color w:val="77787B"/>
          <w:sz w:val="16"/>
          <w:szCs w:val="16"/>
          <w:shd w:val="clear" w:color="auto" w:fill="FFFFFF"/>
        </w:rPr>
        <w:t>Schettle, Sarah D.</w:t>
      </w:r>
      <w:r w:rsidRPr="00AB17DD">
        <w:rPr>
          <w:rFonts w:ascii="Arial" w:hAnsi="Arial" w:cs="Arial"/>
          <w:color w:val="77787B"/>
          <w:sz w:val="16"/>
          <w:szCs w:val="16"/>
          <w:shd w:val="clear" w:color="auto" w:fill="FFFFFF"/>
          <w:vertAlign w:val="superscript"/>
        </w:rPr>
        <w:t>†</w:t>
      </w:r>
      <w:r w:rsidRPr="00AB17DD">
        <w:rPr>
          <w:rFonts w:ascii="Arial" w:hAnsi="Arial" w:cs="Arial"/>
          <w:color w:val="77787B"/>
          <w:sz w:val="16"/>
          <w:szCs w:val="16"/>
          <w:shd w:val="clear" w:color="auto" w:fill="FFFFFF"/>
        </w:rPr>
        <w:t xml:space="preserve">; </w:t>
      </w:r>
      <w:proofErr w:type="spellStart"/>
      <w:r w:rsidRPr="00AB17DD">
        <w:rPr>
          <w:rFonts w:ascii="Arial" w:hAnsi="Arial" w:cs="Arial"/>
          <w:color w:val="77787B"/>
          <w:sz w:val="16"/>
          <w:szCs w:val="16"/>
          <w:shd w:val="clear" w:color="auto" w:fill="FFFFFF"/>
        </w:rPr>
        <w:t>Boilson</w:t>
      </w:r>
      <w:proofErr w:type="spellEnd"/>
      <w:r w:rsidRPr="00AB17DD">
        <w:rPr>
          <w:rFonts w:ascii="Arial" w:hAnsi="Arial" w:cs="Arial"/>
          <w:color w:val="77787B"/>
          <w:sz w:val="16"/>
          <w:szCs w:val="16"/>
          <w:shd w:val="clear" w:color="auto" w:fill="FFFFFF"/>
        </w:rPr>
        <w:t xml:space="preserve">, Barry A, </w:t>
      </w:r>
      <w:proofErr w:type="spellStart"/>
      <w:r w:rsidRPr="00AB17DD">
        <w:rPr>
          <w:rFonts w:ascii="Arial" w:hAnsi="Arial" w:cs="Arial"/>
          <w:color w:val="77787B"/>
          <w:sz w:val="16"/>
          <w:szCs w:val="16"/>
          <w:shd w:val="clear" w:color="auto" w:fill="FFFFFF"/>
        </w:rPr>
        <w:t>Plevak</w:t>
      </w:r>
      <w:proofErr w:type="spellEnd"/>
      <w:r w:rsidRPr="00AB17DD">
        <w:rPr>
          <w:rFonts w:ascii="Arial" w:hAnsi="Arial" w:cs="Arial"/>
          <w:color w:val="77787B"/>
          <w:sz w:val="16"/>
          <w:szCs w:val="16"/>
          <w:shd w:val="clear" w:color="auto" w:fill="FFFFFF"/>
        </w:rPr>
        <w:t xml:space="preserve">, Matthew F, </w:t>
      </w:r>
      <w:proofErr w:type="spellStart"/>
      <w:r w:rsidRPr="00AB17DD">
        <w:rPr>
          <w:rFonts w:ascii="Arial" w:hAnsi="Arial" w:cs="Arial"/>
          <w:color w:val="77787B"/>
          <w:sz w:val="16"/>
          <w:szCs w:val="16"/>
          <w:shd w:val="clear" w:color="auto" w:fill="FFFFFF"/>
        </w:rPr>
        <w:t>Dierkhising</w:t>
      </w:r>
      <w:proofErr w:type="spellEnd"/>
      <w:r w:rsidRPr="00AB17DD">
        <w:rPr>
          <w:rFonts w:ascii="Arial" w:hAnsi="Arial" w:cs="Arial"/>
          <w:color w:val="77787B"/>
          <w:sz w:val="16"/>
          <w:szCs w:val="16"/>
          <w:shd w:val="clear" w:color="auto" w:fill="FFFFFF"/>
        </w:rPr>
        <w:t xml:space="preserve">, Ross A, </w:t>
      </w:r>
      <w:proofErr w:type="spellStart"/>
      <w:r w:rsidRPr="00AB17DD">
        <w:rPr>
          <w:rFonts w:ascii="Arial" w:hAnsi="Arial" w:cs="Arial"/>
          <w:color w:val="77787B"/>
          <w:sz w:val="16"/>
          <w:szCs w:val="16"/>
          <w:shd w:val="clear" w:color="auto" w:fill="FFFFFF"/>
        </w:rPr>
        <w:t>Stulak</w:t>
      </w:r>
      <w:proofErr w:type="spellEnd"/>
      <w:r w:rsidRPr="00AB17DD">
        <w:rPr>
          <w:rFonts w:ascii="Arial" w:hAnsi="Arial" w:cs="Arial"/>
          <w:color w:val="77787B"/>
          <w:sz w:val="16"/>
          <w:szCs w:val="16"/>
          <w:shd w:val="clear" w:color="auto" w:fill="FFFFFF"/>
        </w:rPr>
        <w:t xml:space="preserve">, John M. Baseline </w:t>
      </w:r>
      <w:proofErr w:type="spellStart"/>
      <w:r w:rsidRPr="00AB17DD">
        <w:rPr>
          <w:rFonts w:ascii="Arial" w:hAnsi="Arial" w:cs="Arial"/>
          <w:color w:val="77787B"/>
          <w:sz w:val="16"/>
          <w:szCs w:val="16"/>
          <w:shd w:val="clear" w:color="auto" w:fill="FFFFFF"/>
        </w:rPr>
        <w:t>Thromboelastogram</w:t>
      </w:r>
      <w:proofErr w:type="spellEnd"/>
      <w:r w:rsidRPr="00AB17DD">
        <w:rPr>
          <w:rFonts w:ascii="Arial" w:hAnsi="Arial" w:cs="Arial"/>
          <w:color w:val="77787B"/>
          <w:sz w:val="16"/>
          <w:szCs w:val="16"/>
          <w:shd w:val="clear" w:color="auto" w:fill="FFFFFF"/>
        </w:rPr>
        <w:t xml:space="preserve"> as a Predictor of Left Ventricular Assist Device Thrombosis. ASAIO Journal: July 2019, 65, Issue 5, 443-448     </w:t>
      </w:r>
    </w:p>
    <w:p w14:paraId="35653D02" w14:textId="77777777" w:rsidR="00BF25B6" w:rsidRPr="00AB17DD" w:rsidRDefault="00BF25B6" w:rsidP="007854C7">
      <w:pPr>
        <w:pStyle w:val="ListParagraph"/>
        <w:ind w:left="630"/>
        <w:rPr>
          <w:rFonts w:ascii="Arial" w:hAnsi="Arial" w:cs="Arial"/>
          <w:color w:val="77787B"/>
          <w:sz w:val="16"/>
          <w:szCs w:val="16"/>
          <w:shd w:val="clear" w:color="auto" w:fill="FFFFFF"/>
        </w:rPr>
      </w:pPr>
    </w:p>
    <w:p w14:paraId="13791F81" w14:textId="227879A6" w:rsidR="002A4440" w:rsidRDefault="00BF25B6" w:rsidP="007854C7">
      <w:pPr>
        <w:pStyle w:val="ListParagraph"/>
        <w:numPr>
          <w:ilvl w:val="0"/>
          <w:numId w:val="31"/>
        </w:numPr>
        <w:ind w:left="630"/>
        <w:rPr>
          <w:rFonts w:ascii="Arial" w:hAnsi="Arial" w:cs="Arial"/>
          <w:color w:val="77787B"/>
          <w:sz w:val="16"/>
          <w:szCs w:val="16"/>
          <w:shd w:val="clear" w:color="auto" w:fill="FFFFFF"/>
        </w:rPr>
      </w:pPr>
      <w:r w:rsidRPr="00AB17DD">
        <w:rPr>
          <w:rFonts w:ascii="Arial" w:hAnsi="Arial" w:cs="Arial"/>
          <w:color w:val="77787B"/>
          <w:sz w:val="16"/>
          <w:szCs w:val="16"/>
          <w:shd w:val="clear" w:color="auto" w:fill="FFFFFF"/>
        </w:rPr>
        <w:t>May, Lindsay J.; Lorts, Angela; VanderPluym, Christina; Conway, Jennifer; Massicotte, M. Patricia; Millar, Morgan M; Steiner, Marie E; Rosenthal, David. Marked Practice Variation in Antithrombotic Care with the Berlin Heart EXCOR Pediatric Ventricular Assist Device. ASAIO Journal: October 2019 - Volume 65 - Issue 7 - p 731-737</w:t>
      </w:r>
    </w:p>
    <w:p w14:paraId="3AC6E96E" w14:textId="77777777" w:rsidR="002A4440" w:rsidRPr="007854C7" w:rsidRDefault="002A4440" w:rsidP="007854C7">
      <w:pPr>
        <w:pStyle w:val="ListParagraph"/>
        <w:ind w:left="630"/>
        <w:rPr>
          <w:rFonts w:ascii="Arial" w:hAnsi="Arial" w:cs="Arial"/>
          <w:color w:val="77787B"/>
          <w:sz w:val="16"/>
          <w:szCs w:val="16"/>
          <w:shd w:val="clear" w:color="auto" w:fill="FFFFFF"/>
        </w:rPr>
      </w:pPr>
    </w:p>
    <w:p w14:paraId="373468A0" w14:textId="02DFA9AE" w:rsidR="002A4440" w:rsidRPr="007854C7" w:rsidRDefault="004F2BF2" w:rsidP="007854C7">
      <w:pPr>
        <w:pStyle w:val="ListParagraph"/>
        <w:numPr>
          <w:ilvl w:val="0"/>
          <w:numId w:val="31"/>
        </w:numPr>
        <w:ind w:left="630"/>
        <w:rPr>
          <w:rFonts w:ascii="Arial" w:hAnsi="Arial" w:cs="Arial"/>
          <w:color w:val="777777" w:themeColor="accent6"/>
          <w:sz w:val="16"/>
          <w:szCs w:val="16"/>
          <w:shd w:val="clear" w:color="auto" w:fill="FFFFFF"/>
        </w:rPr>
      </w:pPr>
      <w:r w:rsidRPr="007854C7">
        <w:rPr>
          <w:rFonts w:ascii="Arial" w:hAnsi="Arial" w:cs="Arial"/>
          <w:color w:val="777777" w:themeColor="accent6"/>
          <w:sz w:val="16"/>
          <w:szCs w:val="16"/>
          <w:shd w:val="clear" w:color="auto" w:fill="FFFFFF"/>
        </w:rPr>
        <w:t xml:space="preserve">Hughes K, Jarosz A, Peng DM, Huebschman A. Epoetin alfa in Pediatric Patients </w:t>
      </w:r>
      <w:proofErr w:type="gramStart"/>
      <w:r w:rsidRPr="007854C7">
        <w:rPr>
          <w:rFonts w:ascii="Arial" w:hAnsi="Arial" w:cs="Arial"/>
          <w:color w:val="777777" w:themeColor="accent6"/>
          <w:sz w:val="16"/>
          <w:szCs w:val="16"/>
          <w:shd w:val="clear" w:color="auto" w:fill="FFFFFF"/>
        </w:rPr>
        <w:t>With</w:t>
      </w:r>
      <w:proofErr w:type="gramEnd"/>
      <w:r w:rsidRPr="007854C7">
        <w:rPr>
          <w:rFonts w:ascii="Arial" w:hAnsi="Arial" w:cs="Arial"/>
          <w:color w:val="777777" w:themeColor="accent6"/>
          <w:sz w:val="16"/>
          <w:szCs w:val="16"/>
          <w:shd w:val="clear" w:color="auto" w:fill="FFFFFF"/>
        </w:rPr>
        <w:t xml:space="preserve"> Ventricular Assist Devices: Is It Safe? J </w:t>
      </w:r>
      <w:proofErr w:type="spellStart"/>
      <w:r w:rsidRPr="007854C7">
        <w:rPr>
          <w:rFonts w:ascii="Arial" w:hAnsi="Arial" w:cs="Arial"/>
          <w:color w:val="777777" w:themeColor="accent6"/>
          <w:sz w:val="16"/>
          <w:szCs w:val="16"/>
          <w:shd w:val="clear" w:color="auto" w:fill="FFFFFF"/>
        </w:rPr>
        <w:t>Pediatr</w:t>
      </w:r>
      <w:proofErr w:type="spellEnd"/>
      <w:r w:rsidRPr="007854C7">
        <w:rPr>
          <w:rFonts w:ascii="Arial" w:hAnsi="Arial" w:cs="Arial"/>
          <w:color w:val="777777" w:themeColor="accent6"/>
          <w:sz w:val="16"/>
          <w:szCs w:val="16"/>
          <w:shd w:val="clear" w:color="auto" w:fill="FFFFFF"/>
        </w:rPr>
        <w:t xml:space="preserve"> </w:t>
      </w:r>
      <w:proofErr w:type="spellStart"/>
      <w:r w:rsidRPr="007854C7">
        <w:rPr>
          <w:rFonts w:ascii="Arial" w:hAnsi="Arial" w:cs="Arial"/>
          <w:color w:val="777777" w:themeColor="accent6"/>
          <w:sz w:val="16"/>
          <w:szCs w:val="16"/>
          <w:shd w:val="clear" w:color="auto" w:fill="FFFFFF"/>
        </w:rPr>
        <w:t>Pharmacol</w:t>
      </w:r>
      <w:proofErr w:type="spellEnd"/>
      <w:r w:rsidRPr="007854C7">
        <w:rPr>
          <w:rFonts w:ascii="Arial" w:hAnsi="Arial" w:cs="Arial"/>
          <w:color w:val="777777" w:themeColor="accent6"/>
          <w:sz w:val="16"/>
          <w:szCs w:val="16"/>
          <w:shd w:val="clear" w:color="auto" w:fill="FFFFFF"/>
        </w:rPr>
        <w:t xml:space="preserve"> </w:t>
      </w:r>
      <w:proofErr w:type="spellStart"/>
      <w:r w:rsidRPr="007854C7">
        <w:rPr>
          <w:rFonts w:ascii="Arial" w:hAnsi="Arial" w:cs="Arial"/>
          <w:color w:val="777777" w:themeColor="accent6"/>
          <w:sz w:val="16"/>
          <w:szCs w:val="16"/>
          <w:shd w:val="clear" w:color="auto" w:fill="FFFFFF"/>
        </w:rPr>
        <w:t>Ther</w:t>
      </w:r>
      <w:proofErr w:type="spellEnd"/>
      <w:r w:rsidRPr="007854C7">
        <w:rPr>
          <w:rFonts w:ascii="Arial" w:hAnsi="Arial" w:cs="Arial"/>
          <w:color w:val="777777" w:themeColor="accent6"/>
          <w:sz w:val="16"/>
          <w:szCs w:val="16"/>
          <w:shd w:val="clear" w:color="auto" w:fill="FFFFFF"/>
        </w:rPr>
        <w:t>. 2022;27(4):384-389.</w:t>
      </w:r>
    </w:p>
    <w:p w14:paraId="3A2FDBCD" w14:textId="77777777" w:rsidR="002A4440" w:rsidRPr="007854C7" w:rsidRDefault="002A4440" w:rsidP="007854C7">
      <w:pPr>
        <w:pStyle w:val="ListParagraph"/>
        <w:ind w:left="630"/>
        <w:rPr>
          <w:rFonts w:ascii="Arial" w:hAnsi="Arial" w:cs="Arial"/>
          <w:color w:val="777777" w:themeColor="accent6"/>
          <w:sz w:val="16"/>
          <w:szCs w:val="16"/>
          <w:shd w:val="clear" w:color="auto" w:fill="FFFFFF"/>
        </w:rPr>
      </w:pPr>
    </w:p>
    <w:p w14:paraId="543A7AA0" w14:textId="597D198E" w:rsidR="00BF25B6" w:rsidRDefault="00356E50" w:rsidP="007854C7">
      <w:pPr>
        <w:pStyle w:val="ListParagraph"/>
        <w:numPr>
          <w:ilvl w:val="0"/>
          <w:numId w:val="31"/>
        </w:numPr>
        <w:ind w:left="630"/>
        <w:rPr>
          <w:b/>
          <w:bCs/>
          <w:color w:val="6C6C6C"/>
        </w:rPr>
      </w:pPr>
      <w:r w:rsidRPr="007854C7">
        <w:rPr>
          <w:rFonts w:ascii="Arial" w:hAnsi="Arial" w:cs="Arial"/>
          <w:color w:val="777777" w:themeColor="accent6"/>
          <w:sz w:val="16"/>
          <w:szCs w:val="16"/>
          <w:shd w:val="clear" w:color="auto" w:fill="FFFFFF"/>
        </w:rPr>
        <w:t>Dillon C, Godown J, Bansal N, Amdani SM, Bearl DW. Abstract 12339: Erythropoietin use in pediatric ventricular assist device patients. Circulation. 2024;148(Suppl_1</w:t>
      </w:r>
      <w:proofErr w:type="gramStart"/>
      <w:r w:rsidRPr="007854C7">
        <w:rPr>
          <w:rFonts w:ascii="Arial" w:hAnsi="Arial" w:cs="Arial"/>
          <w:color w:val="777777" w:themeColor="accent6"/>
          <w:sz w:val="16"/>
          <w:szCs w:val="16"/>
          <w:shd w:val="clear" w:color="auto" w:fill="FFFFFF"/>
        </w:rPr>
        <w:t>):A</w:t>
      </w:r>
      <w:proofErr w:type="gramEnd"/>
      <w:r w:rsidRPr="007854C7">
        <w:rPr>
          <w:rFonts w:ascii="Arial" w:hAnsi="Arial" w:cs="Arial"/>
          <w:color w:val="777777" w:themeColor="accent6"/>
          <w:sz w:val="16"/>
          <w:szCs w:val="16"/>
          <w:shd w:val="clear" w:color="auto" w:fill="FFFFFF"/>
        </w:rPr>
        <w:t>12339.</w:t>
      </w:r>
    </w:p>
    <w:p w14:paraId="59E35907" w14:textId="01DB37DD" w:rsidR="00BF25B6" w:rsidRDefault="00BF25B6" w:rsidP="007854C7">
      <w:pPr>
        <w:spacing w:line="240" w:lineRule="exact"/>
        <w:ind w:left="630"/>
        <w:rPr>
          <w:rFonts w:ascii="Arial" w:hAnsi="Arial" w:cs="Arial"/>
          <w:b/>
          <w:bCs/>
          <w:color w:val="6C6C6C"/>
          <w:sz w:val="16"/>
          <w:szCs w:val="16"/>
        </w:rPr>
      </w:pPr>
    </w:p>
    <w:p w14:paraId="51FAD65A" w14:textId="685D736D" w:rsidR="00BF25B6" w:rsidRPr="00BF25B6" w:rsidRDefault="00BF25B6" w:rsidP="007854C7">
      <w:pPr>
        <w:spacing w:line="240" w:lineRule="exact"/>
        <w:ind w:left="630"/>
        <w:rPr>
          <w:rFonts w:ascii="Arial" w:hAnsi="Arial" w:cs="Arial"/>
          <w:b/>
          <w:bCs/>
          <w:color w:val="6C6C6C"/>
          <w:sz w:val="16"/>
          <w:szCs w:val="16"/>
        </w:rPr>
      </w:pPr>
    </w:p>
    <w:sectPr w:rsidR="00BF25B6" w:rsidRPr="00BF25B6" w:rsidSect="007854C7">
      <w:headerReference w:type="default" r:id="rId8"/>
      <w:footerReference w:type="default" r:id="rId9"/>
      <w:headerReference w:type="first" r:id="rId10"/>
      <w:footerReference w:type="first" r:id="rId11"/>
      <w:pgSz w:w="12240" w:h="15840"/>
      <w:pgMar w:top="900" w:right="189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C357" w14:textId="77777777" w:rsidR="0075776B" w:rsidRDefault="0075776B" w:rsidP="001F67B8">
      <w:r>
        <w:separator/>
      </w:r>
    </w:p>
  </w:endnote>
  <w:endnote w:type="continuationSeparator" w:id="0">
    <w:p w14:paraId="62B9E6DE" w14:textId="77777777" w:rsidR="0075776B" w:rsidRDefault="0075776B"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E84A1AC"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05B4BF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9F18" w14:textId="77777777" w:rsidR="0075776B" w:rsidRDefault="0075776B" w:rsidP="001F67B8">
      <w:r>
        <w:separator/>
      </w:r>
    </w:p>
  </w:footnote>
  <w:footnote w:type="continuationSeparator" w:id="0">
    <w:p w14:paraId="1AFA7B56" w14:textId="77777777" w:rsidR="0075776B" w:rsidRDefault="0075776B"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2C96"/>
    <w:multiLevelType w:val="hybridMultilevel"/>
    <w:tmpl w:val="29BC8B22"/>
    <w:lvl w:ilvl="0" w:tplc="04C68EB8">
      <w:start w:val="1"/>
      <w:numFmt w:val="decimal"/>
      <w:lvlText w:val="%1."/>
      <w:lvlJc w:val="left"/>
      <w:pPr>
        <w:ind w:left="720" w:hanging="360"/>
      </w:pPr>
      <w:rPr>
        <w:rFonts w:ascii="Arial" w:hAnsi="Arial" w:cs="Arial"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130F3"/>
    <w:multiLevelType w:val="hybridMultilevel"/>
    <w:tmpl w:val="46B4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73352"/>
    <w:multiLevelType w:val="hybridMultilevel"/>
    <w:tmpl w:val="4030C5F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6D12FE6"/>
    <w:multiLevelType w:val="hybridMultilevel"/>
    <w:tmpl w:val="B7082664"/>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1A1384"/>
    <w:multiLevelType w:val="hybridMultilevel"/>
    <w:tmpl w:val="915031FC"/>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1" w15:restartNumberingAfterBreak="0">
    <w:nsid w:val="2164308E"/>
    <w:multiLevelType w:val="hybridMultilevel"/>
    <w:tmpl w:val="E2660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A63EDE"/>
    <w:multiLevelType w:val="hybridMultilevel"/>
    <w:tmpl w:val="27346C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4518D"/>
    <w:multiLevelType w:val="hybridMultilevel"/>
    <w:tmpl w:val="B60ED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779D0"/>
    <w:multiLevelType w:val="hybridMultilevel"/>
    <w:tmpl w:val="8402A2B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463CE"/>
    <w:multiLevelType w:val="hybridMultilevel"/>
    <w:tmpl w:val="5F4EBE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A3D53"/>
    <w:multiLevelType w:val="hybridMultilevel"/>
    <w:tmpl w:val="8402A2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698089">
    <w:abstractNumId w:val="34"/>
  </w:num>
  <w:num w:numId="2" w16cid:durableId="163663868">
    <w:abstractNumId w:val="19"/>
  </w:num>
  <w:num w:numId="3" w16cid:durableId="103691128">
    <w:abstractNumId w:val="0"/>
  </w:num>
  <w:num w:numId="4" w16cid:durableId="254289349">
    <w:abstractNumId w:val="37"/>
  </w:num>
  <w:num w:numId="5" w16cid:durableId="1580627560">
    <w:abstractNumId w:val="6"/>
  </w:num>
  <w:num w:numId="6" w16cid:durableId="498935118">
    <w:abstractNumId w:val="8"/>
  </w:num>
  <w:num w:numId="7" w16cid:durableId="2047173352">
    <w:abstractNumId w:val="20"/>
  </w:num>
  <w:num w:numId="8" w16cid:durableId="1783649569">
    <w:abstractNumId w:val="32"/>
  </w:num>
  <w:num w:numId="9" w16cid:durableId="1517882243">
    <w:abstractNumId w:val="21"/>
  </w:num>
  <w:num w:numId="10" w16cid:durableId="819689081">
    <w:abstractNumId w:val="29"/>
  </w:num>
  <w:num w:numId="11" w16cid:durableId="1229614069">
    <w:abstractNumId w:val="12"/>
  </w:num>
  <w:num w:numId="12" w16cid:durableId="390350294">
    <w:abstractNumId w:val="26"/>
  </w:num>
  <w:num w:numId="13" w16cid:durableId="349188087">
    <w:abstractNumId w:val="28"/>
  </w:num>
  <w:num w:numId="14" w16cid:durableId="1914926173">
    <w:abstractNumId w:val="16"/>
  </w:num>
  <w:num w:numId="15" w16cid:durableId="1551266554">
    <w:abstractNumId w:val="18"/>
  </w:num>
  <w:num w:numId="16" w16cid:durableId="1903832228">
    <w:abstractNumId w:val="23"/>
  </w:num>
  <w:num w:numId="17" w16cid:durableId="1969896073">
    <w:abstractNumId w:val="13"/>
  </w:num>
  <w:num w:numId="18" w16cid:durableId="424302263">
    <w:abstractNumId w:val="33"/>
  </w:num>
  <w:num w:numId="19" w16cid:durableId="436414360">
    <w:abstractNumId w:val="24"/>
  </w:num>
  <w:num w:numId="20" w16cid:durableId="344938818">
    <w:abstractNumId w:val="27"/>
  </w:num>
  <w:num w:numId="21" w16cid:durableId="411899098">
    <w:abstractNumId w:val="35"/>
  </w:num>
  <w:num w:numId="22" w16cid:durableId="2081320945">
    <w:abstractNumId w:val="25"/>
  </w:num>
  <w:num w:numId="23" w16cid:durableId="58066948">
    <w:abstractNumId w:val="7"/>
  </w:num>
  <w:num w:numId="24" w16cid:durableId="1760909141">
    <w:abstractNumId w:val="5"/>
  </w:num>
  <w:num w:numId="25" w16cid:durableId="847520888">
    <w:abstractNumId w:val="9"/>
  </w:num>
  <w:num w:numId="26" w16cid:durableId="783578436">
    <w:abstractNumId w:val="31"/>
  </w:num>
  <w:num w:numId="27" w16cid:durableId="1327053929">
    <w:abstractNumId w:val="15"/>
  </w:num>
  <w:num w:numId="28" w16cid:durableId="26637631">
    <w:abstractNumId w:val="14"/>
  </w:num>
  <w:num w:numId="29" w16cid:durableId="1564565611">
    <w:abstractNumId w:val="17"/>
  </w:num>
  <w:num w:numId="30" w16cid:durableId="1667976167">
    <w:abstractNumId w:val="2"/>
  </w:num>
  <w:num w:numId="31" w16cid:durableId="1992562041">
    <w:abstractNumId w:val="1"/>
  </w:num>
  <w:num w:numId="32" w16cid:durableId="489368978">
    <w:abstractNumId w:val="11"/>
  </w:num>
  <w:num w:numId="33" w16cid:durableId="723482832">
    <w:abstractNumId w:val="10"/>
  </w:num>
  <w:num w:numId="34" w16cid:durableId="2130855813">
    <w:abstractNumId w:val="36"/>
  </w:num>
  <w:num w:numId="35" w16cid:durableId="445389085">
    <w:abstractNumId w:val="3"/>
  </w:num>
  <w:num w:numId="36" w16cid:durableId="1280801959">
    <w:abstractNumId w:val="4"/>
  </w:num>
  <w:num w:numId="37" w16cid:durableId="1816289048">
    <w:abstractNumId w:val="22"/>
  </w:num>
  <w:num w:numId="38" w16cid:durableId="14885501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17D13"/>
    <w:rsid w:val="00022A7A"/>
    <w:rsid w:val="0002530E"/>
    <w:rsid w:val="00033839"/>
    <w:rsid w:val="00085597"/>
    <w:rsid w:val="0009225E"/>
    <w:rsid w:val="000A072E"/>
    <w:rsid w:val="000A6BAC"/>
    <w:rsid w:val="000A7206"/>
    <w:rsid w:val="000D2867"/>
    <w:rsid w:val="001315A0"/>
    <w:rsid w:val="00150197"/>
    <w:rsid w:val="001604A0"/>
    <w:rsid w:val="00192198"/>
    <w:rsid w:val="00195C3C"/>
    <w:rsid w:val="001B23F1"/>
    <w:rsid w:val="001C1763"/>
    <w:rsid w:val="001C5F77"/>
    <w:rsid w:val="001F67B8"/>
    <w:rsid w:val="00256B45"/>
    <w:rsid w:val="00256E9F"/>
    <w:rsid w:val="0026196D"/>
    <w:rsid w:val="002722CB"/>
    <w:rsid w:val="0027331C"/>
    <w:rsid w:val="002A4440"/>
    <w:rsid w:val="002B67C9"/>
    <w:rsid w:val="002F357E"/>
    <w:rsid w:val="0030093E"/>
    <w:rsid w:val="0030255B"/>
    <w:rsid w:val="00303239"/>
    <w:rsid w:val="0033498B"/>
    <w:rsid w:val="003514FD"/>
    <w:rsid w:val="00356E50"/>
    <w:rsid w:val="00361191"/>
    <w:rsid w:val="003635D4"/>
    <w:rsid w:val="003817FD"/>
    <w:rsid w:val="003919B0"/>
    <w:rsid w:val="00392C76"/>
    <w:rsid w:val="003F1783"/>
    <w:rsid w:val="003F70E1"/>
    <w:rsid w:val="0041226A"/>
    <w:rsid w:val="004328EC"/>
    <w:rsid w:val="00452050"/>
    <w:rsid w:val="00454D58"/>
    <w:rsid w:val="00464B9E"/>
    <w:rsid w:val="004801B2"/>
    <w:rsid w:val="004A2124"/>
    <w:rsid w:val="004B3545"/>
    <w:rsid w:val="004F2BF2"/>
    <w:rsid w:val="004F7453"/>
    <w:rsid w:val="0054393C"/>
    <w:rsid w:val="005478D5"/>
    <w:rsid w:val="00581807"/>
    <w:rsid w:val="00590FD7"/>
    <w:rsid w:val="00594BDE"/>
    <w:rsid w:val="005A0D5F"/>
    <w:rsid w:val="005C3C9E"/>
    <w:rsid w:val="0060235D"/>
    <w:rsid w:val="00675B36"/>
    <w:rsid w:val="006B753E"/>
    <w:rsid w:val="006C40E3"/>
    <w:rsid w:val="00701A67"/>
    <w:rsid w:val="00751BC3"/>
    <w:rsid w:val="007575DC"/>
    <w:rsid w:val="0075776B"/>
    <w:rsid w:val="007675D0"/>
    <w:rsid w:val="0077375A"/>
    <w:rsid w:val="007854C7"/>
    <w:rsid w:val="007A51A9"/>
    <w:rsid w:val="007B522E"/>
    <w:rsid w:val="007B544F"/>
    <w:rsid w:val="007C7746"/>
    <w:rsid w:val="007C79E3"/>
    <w:rsid w:val="00801C76"/>
    <w:rsid w:val="008057B9"/>
    <w:rsid w:val="00823566"/>
    <w:rsid w:val="00850813"/>
    <w:rsid w:val="008642F1"/>
    <w:rsid w:val="00871340"/>
    <w:rsid w:val="008734CA"/>
    <w:rsid w:val="00882DB2"/>
    <w:rsid w:val="00882DE7"/>
    <w:rsid w:val="00890738"/>
    <w:rsid w:val="00890B5B"/>
    <w:rsid w:val="00895D65"/>
    <w:rsid w:val="008A021A"/>
    <w:rsid w:val="008B4FB7"/>
    <w:rsid w:val="008D2C90"/>
    <w:rsid w:val="00906150"/>
    <w:rsid w:val="00914567"/>
    <w:rsid w:val="00984F02"/>
    <w:rsid w:val="009B1CA4"/>
    <w:rsid w:val="009B5B8B"/>
    <w:rsid w:val="009C1788"/>
    <w:rsid w:val="009D11D3"/>
    <w:rsid w:val="009D406F"/>
    <w:rsid w:val="00A06B38"/>
    <w:rsid w:val="00A90CE2"/>
    <w:rsid w:val="00AA4FED"/>
    <w:rsid w:val="00AB17DD"/>
    <w:rsid w:val="00AC637F"/>
    <w:rsid w:val="00AE24A6"/>
    <w:rsid w:val="00B17807"/>
    <w:rsid w:val="00B415AA"/>
    <w:rsid w:val="00B60C4B"/>
    <w:rsid w:val="00B6796D"/>
    <w:rsid w:val="00B73D6A"/>
    <w:rsid w:val="00B857C5"/>
    <w:rsid w:val="00B97A0D"/>
    <w:rsid w:val="00B97A72"/>
    <w:rsid w:val="00BB1E09"/>
    <w:rsid w:val="00BD5CB7"/>
    <w:rsid w:val="00BD6787"/>
    <w:rsid w:val="00BF25B6"/>
    <w:rsid w:val="00BF2901"/>
    <w:rsid w:val="00C34B3D"/>
    <w:rsid w:val="00C43DA5"/>
    <w:rsid w:val="00C43F82"/>
    <w:rsid w:val="00C57251"/>
    <w:rsid w:val="00C7326C"/>
    <w:rsid w:val="00C83DDD"/>
    <w:rsid w:val="00CB064E"/>
    <w:rsid w:val="00CB1BE2"/>
    <w:rsid w:val="00CC3167"/>
    <w:rsid w:val="00CC5F94"/>
    <w:rsid w:val="00CD0561"/>
    <w:rsid w:val="00CF3802"/>
    <w:rsid w:val="00D01928"/>
    <w:rsid w:val="00D27FD2"/>
    <w:rsid w:val="00D37D18"/>
    <w:rsid w:val="00D67398"/>
    <w:rsid w:val="00D7548A"/>
    <w:rsid w:val="00D76FC1"/>
    <w:rsid w:val="00E106A0"/>
    <w:rsid w:val="00E20A57"/>
    <w:rsid w:val="00E713C2"/>
    <w:rsid w:val="00EB6BD9"/>
    <w:rsid w:val="00EC044F"/>
    <w:rsid w:val="00EC2695"/>
    <w:rsid w:val="00EC4848"/>
    <w:rsid w:val="00ED3883"/>
    <w:rsid w:val="00EF2929"/>
    <w:rsid w:val="00EF5B53"/>
    <w:rsid w:val="00F043A4"/>
    <w:rsid w:val="00F25D13"/>
    <w:rsid w:val="00F5607A"/>
    <w:rsid w:val="00F858A4"/>
    <w:rsid w:val="00FA530F"/>
    <w:rsid w:val="00FB32D1"/>
    <w:rsid w:val="00FD7F1D"/>
    <w:rsid w:val="3C8B2C75"/>
    <w:rsid w:val="537F4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2722CB"/>
  </w:style>
  <w:style w:type="character" w:styleId="Hyperlink">
    <w:name w:val="Hyperlink"/>
    <w:basedOn w:val="DefaultParagraphFont"/>
    <w:uiPriority w:val="99"/>
    <w:unhideWhenUsed/>
    <w:rsid w:val="00EB6BD9"/>
    <w:rPr>
      <w:color w:val="CCCCCC" w:themeColor="hyperlink"/>
      <w:u w:val="single"/>
    </w:rPr>
  </w:style>
  <w:style w:type="character" w:styleId="UnresolvedMention">
    <w:name w:val="Unresolved Mention"/>
    <w:basedOn w:val="DefaultParagraphFont"/>
    <w:uiPriority w:val="99"/>
    <w:rsid w:val="00EB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a:dk1>
        <a:sysClr val="windowText" lastClr="000000"/>
      </a:dk1>
      <a:lt1>
        <a:sysClr val="window" lastClr="FFFFFF"/>
      </a:lt1>
      <a:dk2>
        <a:srgbClr val="44546A"/>
      </a:dk2>
      <a:lt2>
        <a:srgbClr val="E7E6E6"/>
      </a:lt2>
      <a:accent1>
        <a:srgbClr val="7CC8C5"/>
      </a:accent1>
      <a:accent2>
        <a:srgbClr val="589095"/>
      </a:accent2>
      <a:accent3>
        <a:srgbClr val="E0DA3C"/>
      </a:accent3>
      <a:accent4>
        <a:srgbClr val="F79548"/>
      </a:accent4>
      <a:accent5>
        <a:srgbClr val="C76BAB"/>
      </a:accent5>
      <a:accent6>
        <a:srgbClr val="777777"/>
      </a:accent6>
      <a:hlink>
        <a:srgbClr val="CCCCCC"/>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6482-37B8-4002-8392-A6F959F4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2418</Words>
  <Characters>13789</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35</cp:revision>
  <dcterms:created xsi:type="dcterms:W3CDTF">2024-07-29T13:18:00Z</dcterms:created>
  <dcterms:modified xsi:type="dcterms:W3CDTF">2025-05-22T15:24:00Z</dcterms:modified>
</cp:coreProperties>
</file>